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80"/>
      </w:pPr>
    </w:p>
    <w:p>
      <w:pPr>
        <w:pStyle w:val="Kicker"/>
        <w:keepNext w:val="1"/>
        <w:keepLines w:val="1"/>
      </w:pPr>
      <w:r>
        <w:t>WEBSITE CONTENT SYSTEM</w:t>
      </w:r>
    </w:p>
    <w:p>
      <w:pPr>
        <w:pStyle w:val="TitlePage"/>
        <w:spacing w:after="320"/>
        <w:keepNext w:val="1"/>
        <w:keepLines w:val="1"/>
      </w:pPr>
      <w:r>
        <w:rPr>
          <w:sz w:val="64"/>
        </w:rPr>
        <w:t>CDMM Nine Autonomies</w:t>
        <w:br/>
        <w:t>Website Content Pack</w:t>
      </w:r>
    </w:p>
    <w:p>
      <w:pPr>
        <w:spacing w:after="460"/>
      </w:pPr>
      <w:r>
        <w:rPr>
          <w:b/>
          <w:color w:val="244C5A"/>
          <w:sz w:val="30"/>
        </w:rPr>
        <w:t>Publish-ready analytical page copy for cdmmodel.ca</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Purpose: give municipal analysts a disciplined account of why each Autonomy exists, how it works with the other eight, what must be measured, and which outcomes remain scenarios rather than established evidence.</w:t>
            </w:r>
          </w:p>
        </w:tc>
      </w:tr>
    </w:tbl>
    <w:p>
      <w:pPr>
        <w:spacing w:after="0"/>
      </w:pPr>
    </w:p>
    <w:p>
      <w:pPr>
        <w:spacing w:after="1080"/>
      </w:pPr>
    </w:p>
    <w:tbl>
      <w:tblPr>
        <w:tblW w:type="auto" w:w="0"/>
        <w:tblLayout w:type="fixed"/>
        <w:tblLook w:firstColumn="1" w:firstRow="1" w:lastColumn="0" w:lastRow="0" w:noHBand="0" w:noVBand="1" w:val="04A0"/>
      </w:tblPr>
      <w:tblGrid>
        <w:gridCol w:w="4997"/>
        <w:gridCol w:w="4997"/>
      </w:tblGrid>
      <w:tr>
        <w:tc>
          <w:tcPr>
            <w:tcW w:type="dxa" w:w="1728"/>
            <w:tcMar>
              <w:top w:w="70" w:type="dxa"/>
              <w:start w:w="100" w:type="dxa"/>
              <w:bottom w:w="70" w:type="dxa"/>
              <w:end w:w="100" w:type="dxa"/>
            </w:tcMar>
            <w:tcBorders>
              <w:bottom w:val="single" w:sz="4" w:color="D7DCDE"/>
            </w:tcBorders>
          </w:tcPr>
          <w:p>
            <w:r>
              <w:rPr>
                <w:b/>
                <w:color w:val="4D5B61"/>
              </w:rPr>
              <w:t>Prepared for</w:t>
            </w:r>
          </w:p>
        </w:tc>
        <w:tc>
          <w:tcPr>
            <w:tcW w:type="dxa" w:w="8352"/>
            <w:tcMar>
              <w:top w:w="70" w:type="dxa"/>
              <w:start w:w="100" w:type="dxa"/>
              <w:bottom w:w="70" w:type="dxa"/>
              <w:end w:w="100" w:type="dxa"/>
            </w:tcMar>
            <w:tcBorders>
              <w:bottom w:val="single" w:sz="4" w:color="D7DCDE"/>
            </w:tcBorders>
          </w:tcPr>
          <w:p>
            <w:r>
              <w:t>Bola Ademolu</w:t>
            </w:r>
          </w:p>
        </w:tc>
      </w:tr>
      <w:tr>
        <w:tc>
          <w:tcPr>
            <w:tcW w:type="dxa" w:w="1728"/>
            <w:tcMar>
              <w:top w:w="70" w:type="dxa"/>
              <w:start w:w="100" w:type="dxa"/>
              <w:bottom w:w="70" w:type="dxa"/>
              <w:end w:w="100" w:type="dxa"/>
            </w:tcMar>
            <w:tcBorders>
              <w:bottom w:val="single" w:sz="4" w:color="D7DCDE"/>
            </w:tcBorders>
          </w:tcPr>
          <w:p>
            <w:r>
              <w:rPr>
                <w:b/>
                <w:color w:val="4D5B61"/>
              </w:rPr>
              <w:t>Website</w:t>
            </w:r>
          </w:p>
        </w:tc>
        <w:tc>
          <w:tcPr>
            <w:tcW w:type="dxa" w:w="8352"/>
            <w:tcMar>
              <w:top w:w="70" w:type="dxa"/>
              <w:start w:w="100" w:type="dxa"/>
              <w:bottom w:w="70" w:type="dxa"/>
              <w:end w:w="100" w:type="dxa"/>
            </w:tcMar>
            <w:tcBorders>
              <w:bottom w:val="single" w:sz="4" w:color="D7DCDE"/>
            </w:tcBorders>
          </w:tcPr>
          <w:p>
            <w:r>
              <w:t>cdmmodel.ca</w:t>
            </w:r>
          </w:p>
        </w:tc>
      </w:tr>
      <w:tr>
        <w:tc>
          <w:tcPr>
            <w:tcW w:type="dxa" w:w="1728"/>
            <w:tcMar>
              <w:top w:w="70" w:type="dxa"/>
              <w:start w:w="100" w:type="dxa"/>
              <w:bottom w:w="70" w:type="dxa"/>
              <w:end w:w="100" w:type="dxa"/>
            </w:tcMar>
            <w:tcBorders>
              <w:bottom w:val="single" w:sz="4" w:color="D7DCDE"/>
            </w:tcBorders>
          </w:tcPr>
          <w:p>
            <w:r>
              <w:rPr>
                <w:b/>
                <w:color w:val="4D5B61"/>
              </w:rPr>
              <w:t>Prepared</w:t>
            </w:r>
          </w:p>
        </w:tc>
        <w:tc>
          <w:tcPr>
            <w:tcW w:type="dxa" w:w="8352"/>
            <w:tcMar>
              <w:top w:w="70" w:type="dxa"/>
              <w:start w:w="100" w:type="dxa"/>
              <w:bottom w:w="70" w:type="dxa"/>
              <w:end w:w="100" w:type="dxa"/>
            </w:tcMar>
            <w:tcBorders>
              <w:bottom w:val="single" w:sz="4" w:color="D7DCDE"/>
            </w:tcBorders>
          </w:tcPr>
          <w:p>
            <w:r>
              <w:t>12 September 2026</w:t>
            </w:r>
          </w:p>
        </w:tc>
      </w:tr>
      <w:tr>
        <w:tc>
          <w:tcPr>
            <w:tcW w:type="dxa" w:w="1728"/>
            <w:tcMar>
              <w:top w:w="70" w:type="dxa"/>
              <w:start w:w="100" w:type="dxa"/>
              <w:bottom w:w="70" w:type="dxa"/>
              <w:end w:w="100" w:type="dxa"/>
            </w:tcMar>
            <w:tcBorders>
              <w:bottom w:val="single" w:sz="4" w:color="D7DCDE"/>
            </w:tcBorders>
          </w:tcPr>
          <w:p>
            <w:r>
              <w:rPr>
                <w:b/>
                <w:color w:val="4D5B61"/>
              </w:rPr>
              <w:t>Use</w:t>
            </w:r>
          </w:p>
        </w:tc>
        <w:tc>
          <w:tcPr>
            <w:tcW w:type="dxa" w:w="8352"/>
            <w:tcMar>
              <w:top w:w="70" w:type="dxa"/>
              <w:start w:w="100" w:type="dxa"/>
              <w:bottom w:w="70" w:type="dxa"/>
              <w:end w:w="100" w:type="dxa"/>
            </w:tcMar>
            <w:tcBorders>
              <w:bottom w:val="single" w:sz="4" w:color="D7DCDE"/>
            </w:tcBorders>
          </w:tcPr>
          <w:p>
            <w:r>
              <w:t>Web editor master copy</w:t>
            </w:r>
          </w:p>
        </w:tc>
      </w:tr>
    </w:tbl>
    <w:p>
      <w:r>
        <w:br w:type="page"/>
      </w:r>
    </w:p>
    <w:p>
      <w:pPr>
        <w:pStyle w:val="Kicker"/>
        <w:keepNext w:val="1"/>
        <w:keepLines w:val="1"/>
      </w:pPr>
      <w:r>
        <w:t>EDITORIAL BRIEF</w:t>
      </w:r>
    </w:p>
    <w:p>
      <w:pPr>
        <w:pStyle w:val="TitlePage"/>
        <w:keepNext w:val="1"/>
        <w:keepLines w:val="1"/>
      </w:pPr>
      <w:bookmarkStart w:id="666034" w:name="how_to_use"/>
      <w:bookmarkEnd w:id="666034"/>
      <w:r>
        <w:t>How to use this pack</w:t>
      </w:r>
    </w:p>
    <w:p>
      <w:pPr>
        <w:pStyle w:val="BodyText"/>
      </w:pPr>
      <w:r>
        <w:t>This document is a replacement content system, not a collection of promotional blurbs. It supplies one hub page, nine equal-status Autonomy pages, current-site corrections, measurement rules, evidence labels, and source notes. Copy can be published directly, then adapted only for municipality-specific law, data and design.</w:t>
      </w:r>
    </w:p>
    <w:p>
      <w:pPr>
        <w:pStyle w:val="Heading1"/>
        <w:keepNext w:val="1"/>
        <w:keepLines w:val="1"/>
      </w:pPr>
      <w:r>
        <w:t>The governing definition</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In CDMM, an Autonomy is a defined field in which a municipality develops durable local capacity: assets, operating knowledge, purchasing power, data, governance and the ability to act within powers granted by provincial law. It does not mean constitutional separation.</w:t>
            </w:r>
          </w:p>
        </w:tc>
      </w:tr>
    </w:tbl>
    <w:p>
      <w:pPr>
        <w:spacing w:after="0"/>
      </w:pPr>
    </w:p>
    <w:p>
      <w:pPr>
        <w:pStyle w:val="BodyText"/>
      </w:pPr>
      <w:r>
        <w:t>The architecture is complete without being fixed. The nine fields remain stable so the model can be compared across communities. The components inside a field can change as local needs, technology, law and evidence change. A municipality may therefore use different delivery vehicles—department, municipal corporation, utility, nonprofit, cooperative arrangement, Indigenous partnership or private contract—without creating a tenth Autonomy.</w:t>
      </w:r>
    </w:p>
    <w:p>
      <w:pPr>
        <w:pStyle w:val="Heading1"/>
        <w:keepNext w:val="1"/>
        <w:keepLines w:val="1"/>
      </w:pPr>
      <w:r>
        <w:t>Non-negotiable jurisdiction statement</w:t>
      </w:r>
    </w:p>
    <w:p>
      <w:pPr>
        <w:pStyle w:val="BodyText"/>
      </w:pPr>
      <w:r>
        <w:t>Use this language in the hub footer and on every Autonomy page: Municipalities develop local capacity within each field. Provincial and federal governments retain their legislative, regulatory and funding responsibilities. Indigenous rights, title, treaties and Crown consultation obligations remain fully applicable.</w:t>
      </w:r>
    </w:p>
    <w:p>
      <w:pPr>
        <w:pStyle w:val="BodyText"/>
      </w:pPr>
      <w:r>
        <w:t>Municipal institutions are constitutionally within provincial jurisdiction. Hospitals, natural resources, electricity generation, licences and many local works also sit within provincial legislative fields. CDMM can propose municipal ownership, delivery or partnership only where provincial law permits it or a province authorizes it by statute, regulation or agreement. That is an implementation condition, not a weakness in the model.</w:t>
      </w:r>
    </w:p>
    <w:p>
      <w:pPr>
        <w:pStyle w:val="Heading1"/>
        <w:keepNext w:val="1"/>
        <w:keepLines w:val="1"/>
      </w:pPr>
      <w:r>
        <w:t>Four evidence labels</w:t>
      </w:r>
    </w:p>
    <w:tbl>
      <w:tblPr>
        <w:tblStyle w:val="TableGrid"/>
        <w:tblW w:type="auto" w:w="0"/>
        <w:tblLayout w:type="fixed"/>
        <w:tblLook w:firstColumn="1" w:firstRow="1" w:lastColumn="0" w:lastRow="0" w:noHBand="0" w:noVBand="1" w:val="04A0"/>
      </w:tblPr>
      <w:tblGrid>
        <w:gridCol w:w="3331"/>
        <w:gridCol w:w="3331"/>
        <w:gridCol w:w="3331"/>
      </w:tblGrid>
      <w:tr>
        <w:trPr>
          <w:trHeight w:hRule="atLeast"/>
          <w:tblHeader w:val="true"/>
          <w:cantSplit w:val="true"/>
        </w:trPr>
        <w:tc>
          <w:tcPr>
            <w:tcW w:type="dxa" w:w="1944"/>
            <w:shd w:fill="244C5A"/>
            <w:tcMar>
              <w:top w:w="82" w:type="dxa"/>
              <w:start w:w="100" w:type="dxa"/>
              <w:bottom w:w="82" w:type="dxa"/>
              <w:end w:w="100" w:type="dxa"/>
            </w:tcMar>
            <w:vAlign w:val="center"/>
          </w:tcPr>
          <w:p>
            <w:pPr>
              <w:spacing w:after="0"/>
              <w:keepNext w:val="1"/>
            </w:pPr>
            <w:r>
              <w:rPr>
                <w:b/>
                <w:color w:val="FFFFFF"/>
                <w:sz w:val="17"/>
              </w:rPr>
              <w:t>Label</w:t>
            </w:r>
          </w:p>
        </w:tc>
        <w:tc>
          <w:tcPr>
            <w:tcW w:type="dxa" w:w="3744"/>
            <w:shd w:fill="244C5A"/>
            <w:tcMar>
              <w:top w:w="82" w:type="dxa"/>
              <w:start w:w="100" w:type="dxa"/>
              <w:bottom w:w="82" w:type="dxa"/>
              <w:end w:w="100" w:type="dxa"/>
            </w:tcMar>
            <w:vAlign w:val="center"/>
          </w:tcPr>
          <w:p>
            <w:pPr>
              <w:spacing w:after="0"/>
              <w:keepNext w:val="1"/>
            </w:pPr>
            <w:r>
              <w:rPr>
                <w:b/>
                <w:color w:val="FFFFFF"/>
                <w:sz w:val="17"/>
              </w:rPr>
              <w:t>Meaning</w:t>
            </w:r>
          </w:p>
        </w:tc>
        <w:tc>
          <w:tcPr>
            <w:tcW w:type="dxa" w:w="4752"/>
            <w:shd w:fill="244C5A"/>
            <w:tcMar>
              <w:top w:w="82" w:type="dxa"/>
              <w:start w:w="100" w:type="dxa"/>
              <w:bottom w:w="82" w:type="dxa"/>
              <w:end w:w="100" w:type="dxa"/>
            </w:tcMar>
            <w:vAlign w:val="center"/>
          </w:tcPr>
          <w:p>
            <w:pPr>
              <w:spacing w:after="0"/>
              <w:keepNext w:val="1"/>
            </w:pPr>
            <w:r>
              <w:rPr>
                <w:b/>
                <w:color w:val="FFFFFF"/>
                <w:sz w:val="17"/>
              </w:rPr>
              <w:t>Editorial rule</w:t>
            </w:r>
          </w:p>
        </w:tc>
      </w:tr>
      <w:tr>
        <w:trPr>
          <w:cantSplit w:val="true"/>
          <w:trHeight w:hRule="atLeast"/>
        </w:trPr>
        <w:tc>
          <w:tcPr>
            <w:tcW w:type="dxa" w:w="1944"/>
            <w:shd w:fill="FFFFFF"/>
            <w:tcMar>
              <w:top w:w="68" w:type="dxa"/>
              <w:start w:w="100" w:type="dxa"/>
              <w:bottom w:w="68" w:type="dxa"/>
              <w:end w:w="100" w:type="dxa"/>
            </w:tcMar>
            <w:vAlign w:val="top"/>
          </w:tcPr>
          <w:p>
            <w:pPr>
              <w:spacing w:after="0" w:line="240" w:lineRule="auto"/>
              <w:keepNext w:val="1"/>
            </w:pPr>
            <w:r>
              <w:rPr>
                <w:b/>
                <w:color w:val="2D3436"/>
                <w:sz w:val="17"/>
              </w:rPr>
              <w:t>Established evidence</w:t>
            </w:r>
          </w:p>
        </w:tc>
        <w:tc>
          <w:tcPr>
            <w:tcW w:type="dxa" w:w="3744"/>
            <w:shd w:fill="FFFFFF"/>
            <w:tcMar>
              <w:top w:w="68" w:type="dxa"/>
              <w:start w:w="100" w:type="dxa"/>
              <w:bottom w:w="68" w:type="dxa"/>
              <w:end w:w="100" w:type="dxa"/>
            </w:tcMar>
            <w:vAlign w:val="top"/>
          </w:tcPr>
          <w:p>
            <w:pPr>
              <w:spacing w:after="0" w:line="240" w:lineRule="auto"/>
              <w:keepNext w:val="1"/>
            </w:pPr>
            <w:r>
              <w:rPr>
                <w:sz w:val="17"/>
              </w:rPr>
              <w:t>A law, public dataset, audited result or documented operating example.</w:t>
            </w:r>
          </w:p>
        </w:tc>
        <w:tc>
          <w:tcPr>
            <w:tcW w:type="dxa" w:w="4752"/>
            <w:shd w:fill="FFFFFF"/>
            <w:tcMar>
              <w:top w:w="68" w:type="dxa"/>
              <w:start w:w="100" w:type="dxa"/>
              <w:bottom w:w="68" w:type="dxa"/>
              <w:end w:w="100" w:type="dxa"/>
            </w:tcMar>
            <w:vAlign w:val="top"/>
          </w:tcPr>
          <w:p>
            <w:pPr>
              <w:spacing w:after="0" w:line="240" w:lineRule="auto"/>
              <w:keepNext w:val="1"/>
            </w:pPr>
            <w:r>
              <w:rPr>
                <w:sz w:val="17"/>
              </w:rPr>
              <w:t>State only what the source establishes. An example proves feasibility in that setting, not a universal CDMM outcome.</w:t>
            </w:r>
          </w:p>
        </w:tc>
      </w:tr>
      <w:tr>
        <w:trPr>
          <w:cantSplit w:val="true"/>
          <w:trHeight w:hRule="atLeast"/>
        </w:trPr>
        <w:tc>
          <w:tcPr>
            <w:tcW w:type="dxa" w:w="1944"/>
            <w:shd w:fill="F3F4F4"/>
            <w:tcMar>
              <w:top w:w="68" w:type="dxa"/>
              <w:start w:w="100" w:type="dxa"/>
              <w:bottom w:w="68" w:type="dxa"/>
              <w:end w:w="100" w:type="dxa"/>
            </w:tcMar>
            <w:vAlign w:val="top"/>
          </w:tcPr>
          <w:p>
            <w:pPr>
              <w:spacing w:after="0" w:line="240" w:lineRule="auto"/>
              <w:keepNext w:val="1"/>
            </w:pPr>
            <w:r>
              <w:rPr>
                <w:b/>
                <w:color w:val="2D3436"/>
                <w:sz w:val="17"/>
              </w:rPr>
              <w:t>Local evidence required</w:t>
            </w:r>
          </w:p>
        </w:tc>
        <w:tc>
          <w:tcPr>
            <w:tcW w:type="dxa" w:w="3744"/>
            <w:shd w:fill="F3F4F4"/>
            <w:tcMar>
              <w:top w:w="68" w:type="dxa"/>
              <w:start w:w="100" w:type="dxa"/>
              <w:bottom w:w="68" w:type="dxa"/>
              <w:end w:w="100" w:type="dxa"/>
            </w:tcMar>
            <w:vAlign w:val="top"/>
          </w:tcPr>
          <w:p>
            <w:pPr>
              <w:spacing w:after="0" w:line="240" w:lineRule="auto"/>
              <w:keepNext w:val="1"/>
            </w:pPr>
            <w:r>
              <w:rPr>
                <w:sz w:val="17"/>
              </w:rPr>
              <w:t>A community-specific fact that is unknown until measured.</w:t>
            </w:r>
          </w:p>
        </w:tc>
        <w:tc>
          <w:tcPr>
            <w:tcW w:type="dxa" w:w="4752"/>
            <w:shd w:fill="F3F4F4"/>
            <w:tcMar>
              <w:top w:w="68" w:type="dxa"/>
              <w:start w:w="100" w:type="dxa"/>
              <w:bottom w:w="68" w:type="dxa"/>
              <w:end w:w="100" w:type="dxa"/>
            </w:tcMar>
            <w:vAlign w:val="top"/>
          </w:tcPr>
          <w:p>
            <w:pPr>
              <w:spacing w:after="0" w:line="240" w:lineRule="auto"/>
              <w:keepNext w:val="1"/>
            </w:pPr>
            <w:r>
              <w:rPr>
                <w:sz w:val="17"/>
              </w:rPr>
              <w:t>Name the dataset, unit, geography, denominator and baseline year required before a decision.</w:t>
            </w:r>
          </w:p>
        </w:tc>
      </w:tr>
      <w:tr>
        <w:trPr>
          <w:cantSplit w:val="true"/>
          <w:trHeight w:hRule="atLeast"/>
        </w:trPr>
        <w:tc>
          <w:tcPr>
            <w:tcW w:type="dxa" w:w="1944"/>
            <w:shd w:fill="FFFFFF"/>
            <w:tcMar>
              <w:top w:w="68" w:type="dxa"/>
              <w:start w:w="100" w:type="dxa"/>
              <w:bottom w:w="68" w:type="dxa"/>
              <w:end w:w="100" w:type="dxa"/>
            </w:tcMar>
            <w:vAlign w:val="top"/>
          </w:tcPr>
          <w:p>
            <w:pPr>
              <w:spacing w:after="0" w:line="240" w:lineRule="auto"/>
              <w:keepNext w:val="1"/>
            </w:pPr>
            <w:r>
              <w:rPr>
                <w:b/>
                <w:color w:val="2D3436"/>
                <w:sz w:val="17"/>
              </w:rPr>
              <w:t>CDMM scenario</w:t>
            </w:r>
          </w:p>
        </w:tc>
        <w:tc>
          <w:tcPr>
            <w:tcW w:type="dxa" w:w="3744"/>
            <w:shd w:fill="FFFFFF"/>
            <w:tcMar>
              <w:top w:w="68" w:type="dxa"/>
              <w:start w:w="100" w:type="dxa"/>
              <w:bottom w:w="68" w:type="dxa"/>
              <w:end w:w="100" w:type="dxa"/>
            </w:tcMar>
            <w:vAlign w:val="top"/>
          </w:tcPr>
          <w:p>
            <w:pPr>
              <w:spacing w:after="0" w:line="240" w:lineRule="auto"/>
              <w:keepNext w:val="1"/>
            </w:pPr>
            <w:r>
              <w:rPr>
                <w:sz w:val="17"/>
              </w:rPr>
              <w:t>A proposed mechanism, design choice or expected result.</w:t>
            </w:r>
          </w:p>
        </w:tc>
        <w:tc>
          <w:tcPr>
            <w:tcW w:type="dxa" w:w="4752"/>
            <w:shd w:fill="FFFFFF"/>
            <w:tcMar>
              <w:top w:w="68" w:type="dxa"/>
              <w:start w:w="100" w:type="dxa"/>
              <w:bottom w:w="68" w:type="dxa"/>
              <w:end w:w="100" w:type="dxa"/>
            </w:tcMar>
            <w:vAlign w:val="top"/>
          </w:tcPr>
          <w:p>
            <w:pPr>
              <w:spacing w:after="0" w:line="240" w:lineRule="auto"/>
              <w:keepNext w:val="1"/>
            </w:pPr>
            <w:r>
              <w:rPr>
                <w:sz w:val="17"/>
              </w:rPr>
              <w:t>Use could, may, target or test. Show assumptions and sensitivity; never write it as a result.</w:t>
            </w:r>
          </w:p>
        </w:tc>
      </w:tr>
      <w:tr>
        <w:trPr>
          <w:cantSplit w:val="true"/>
          <w:trHeight w:hRule="atLeast"/>
        </w:trPr>
        <w:tc>
          <w:tcPr>
            <w:tcW w:type="dxa" w:w="1944"/>
            <w:shd w:fill="F3F4F4"/>
            <w:tcMar>
              <w:top w:w="68" w:type="dxa"/>
              <w:start w:w="100" w:type="dxa"/>
              <w:bottom w:w="68" w:type="dxa"/>
              <w:end w:w="100" w:type="dxa"/>
            </w:tcMar>
            <w:vAlign w:val="top"/>
          </w:tcPr>
          <w:p>
            <w:pPr>
              <w:spacing w:after="0" w:line="240" w:lineRule="auto"/>
            </w:pPr>
            <w:r>
              <w:rPr>
                <w:b/>
                <w:color w:val="2D3436"/>
                <w:sz w:val="17"/>
              </w:rPr>
              <w:t>Decision rule</w:t>
            </w:r>
          </w:p>
        </w:tc>
        <w:tc>
          <w:tcPr>
            <w:tcW w:type="dxa" w:w="3744"/>
            <w:shd w:fill="F3F4F4"/>
            <w:tcMar>
              <w:top w:w="68" w:type="dxa"/>
              <w:start w:w="100" w:type="dxa"/>
              <w:bottom w:w="68" w:type="dxa"/>
              <w:end w:w="100" w:type="dxa"/>
            </w:tcMar>
            <w:vAlign w:val="top"/>
          </w:tcPr>
          <w:p>
            <w:pPr>
              <w:spacing w:after="0" w:line="240" w:lineRule="auto"/>
            </w:pPr>
            <w:r>
              <w:rPr>
                <w:sz w:val="17"/>
              </w:rPr>
              <w:t>A threshold agreed before a pilot begins.</w:t>
            </w:r>
          </w:p>
        </w:tc>
        <w:tc>
          <w:tcPr>
            <w:tcW w:type="dxa" w:w="4752"/>
            <w:shd w:fill="F3F4F4"/>
            <w:tcMar>
              <w:top w:w="68" w:type="dxa"/>
              <w:start w:w="100" w:type="dxa"/>
              <w:bottom w:w="68" w:type="dxa"/>
              <w:end w:w="100" w:type="dxa"/>
            </w:tcMar>
            <w:vAlign w:val="top"/>
          </w:tcPr>
          <w:p>
            <w:pPr>
              <w:spacing w:after="0" w:line="240" w:lineRule="auto"/>
            </w:pPr>
            <w:r>
              <w:rPr>
                <w:sz w:val="17"/>
              </w:rPr>
              <w:t>Define what triggers proceed, redesign, scale or stop. A decision rule is governance, not evidence.</w:t>
            </w:r>
          </w:p>
        </w:tc>
      </w:tr>
    </w:tbl>
    <w:p>
      <w:pPr>
        <w:spacing w:after="0" w:line="40" w:lineRule="exact"/>
      </w:pPr>
      <w:r>
        <w:rPr>
          <w:sz w:val="2"/>
        </w:rPr>
        <w:t xml:space="preserve"> </w:t>
      </w:r>
    </w:p>
    <w:p>
      <w:pPr>
        <w:pStyle w:val="Heading1"/>
        <w:keepNext w:val="1"/>
        <w:keepLines w:val="1"/>
      </w:pPr>
      <w:r>
        <w:t>Numerical claims policy</w:t>
      </w:r>
    </w:p>
    <w:p>
      <w:pPr>
        <w:pStyle w:val="BodyText"/>
      </w:pPr>
      <w:r>
        <w:t>Do not publish an isolated percentage, job count, saving, multiplier or revenue range. Every modelled number needs a linked calculation note containing the service area, base year, source data, unit, formula, treatment of taxes and subsidies, capital and operating costs, financing terms, time horizon, low/base/high assumptions and sensitivity. Direct jobs must be separated from indirect or induced jobs; gross revenue must never be presented as municipal benefit; and operating break-even must include debt service, maintenance, renewal reserves and corporate overhead.</w:t>
      </w:r>
    </w:p>
    <w:p>
      <w:pPr>
        <w:pStyle w:val="Heading1"/>
        <w:keepNext w:val="1"/>
        <w:keepLines w:val="1"/>
      </w:pPr>
      <w:r>
        <w:t>Recommended page order</w:t>
      </w:r>
    </w:p>
    <w:p>
      <w:pPr>
        <w:pStyle w:val="BodyText"/>
        <w:ind w:left="432" w:hanging="317"/>
        <w:keepLines w:val="1"/>
      </w:pPr>
      <w:r>
        <w:rPr>
          <w:b/>
        </w:rPr>
        <w:t xml:space="preserve">1.  </w:t>
      </w:r>
      <w:r>
        <w:t>Definition and analytical purpose</w:t>
      </w:r>
    </w:p>
    <w:p>
      <w:pPr>
        <w:pStyle w:val="BodyText"/>
        <w:ind w:left="432" w:hanging="317"/>
        <w:keepLines w:val="1"/>
      </w:pPr>
      <w:r>
        <w:rPr>
          <w:b/>
        </w:rPr>
        <w:t xml:space="preserve">2.  </w:t>
      </w:r>
      <w:r>
        <w:t>Scope and boundary</w:t>
      </w:r>
    </w:p>
    <w:p>
      <w:pPr>
        <w:pStyle w:val="BodyText"/>
        <w:ind w:left="432" w:hanging="317"/>
        <w:keepLines w:val="1"/>
      </w:pPr>
      <w:r>
        <w:rPr>
          <w:b/>
        </w:rPr>
        <w:t xml:space="preserve">3.  </w:t>
      </w:r>
      <w:r>
        <w:t>Operating logic</w:t>
      </w:r>
    </w:p>
    <w:p>
      <w:pPr>
        <w:pStyle w:val="BodyText"/>
        <w:ind w:left="432" w:hanging="317"/>
        <w:keepLines w:val="1"/>
      </w:pPr>
      <w:r>
        <w:rPr>
          <w:b/>
        </w:rPr>
        <w:t xml:space="preserve">4.  </w:t>
      </w:r>
      <w:r>
        <w:t>Connections to the other Autonomies</w:t>
      </w:r>
    </w:p>
    <w:p>
      <w:pPr>
        <w:pStyle w:val="BodyText"/>
        <w:ind w:left="432" w:hanging="317"/>
        <w:keepLines w:val="1"/>
      </w:pPr>
      <w:r>
        <w:rPr>
          <w:b/>
        </w:rPr>
        <w:t xml:space="preserve">5.  </w:t>
      </w:r>
      <w:r>
        <w:t>Responsibilities and partners</w:t>
      </w:r>
    </w:p>
    <w:p>
      <w:pPr>
        <w:pStyle w:val="BodyText"/>
        <w:ind w:left="432" w:hanging="317"/>
        <w:keepLines w:val="1"/>
      </w:pPr>
      <w:r>
        <w:rPr>
          <w:b/>
        </w:rPr>
        <w:t xml:space="preserve">6.  </w:t>
      </w:r>
      <w:r>
        <w:t>Decision gates</w:t>
      </w:r>
    </w:p>
    <w:p>
      <w:pPr>
        <w:pStyle w:val="BodyText"/>
        <w:ind w:left="432" w:hanging="317"/>
        <w:keepLines w:val="1"/>
      </w:pPr>
      <w:r>
        <w:rPr>
          <w:b/>
        </w:rPr>
        <w:t xml:space="preserve">7.  </w:t>
      </w:r>
      <w:r>
        <w:t>Measures and reporting</w:t>
      </w:r>
    </w:p>
    <w:p>
      <w:pPr>
        <w:pStyle w:val="BodyText"/>
        <w:ind w:left="432" w:hanging="317"/>
        <w:keepLines w:val="1"/>
      </w:pPr>
      <w:r>
        <w:rPr>
          <w:b/>
        </w:rPr>
        <w:t xml:space="preserve">8.  </w:t>
      </w:r>
      <w:r>
        <w:t>Evidence and scenario status</w:t>
      </w:r>
    </w:p>
    <w:p>
      <w:pPr>
        <w:pStyle w:val="BodyText"/>
        <w:ind w:left="432" w:hanging="317"/>
        <w:keepLines w:val="1"/>
      </w:pPr>
      <w:r>
        <w:rPr>
          <w:b/>
        </w:rPr>
        <w:t xml:space="preserve">9.  </w:t>
      </w:r>
      <w:r>
        <w:t>Risks and safeguards</w:t>
      </w:r>
    </w:p>
    <w:p>
      <w:pPr>
        <w:pStyle w:val="BodyText"/>
        <w:ind w:left="432" w:hanging="317"/>
        <w:keepLines w:val="1"/>
      </w:pPr>
      <w:r>
        <w:rPr>
          <w:b/>
        </w:rPr>
        <w:t xml:space="preserve">10.  </w:t>
      </w:r>
      <w:r>
        <w:t>Implementation sequence and sources</w:t>
      </w:r>
    </w:p>
    <w:p>
      <w:pPr>
        <w:pStyle w:val="BodyText"/>
      </w:pPr>
      <w:r>
        <w:t>On mobile, keep the definition, scope and operating logic open. Place detailed responsibilities, measures, evidence and sources in labelled accordions. Do not hide the evidence label or jurisdiction statement.</w:t>
      </w:r>
    </w:p>
    <w:p>
      <w:r>
        <w:br w:type="page"/>
      </w:r>
    </w:p>
    <w:p>
      <w:pPr>
        <w:pStyle w:val="Kicker"/>
        <w:keepNext w:val="1"/>
        <w:keepLines w:val="1"/>
      </w:pPr>
      <w:r>
        <w:t>DOCUMENT MAP</w:t>
      </w:r>
    </w:p>
    <w:p>
      <w:pPr>
        <w:pStyle w:val="TitlePage"/>
        <w:keepNext w:val="1"/>
        <w:keepLines w:val="1"/>
      </w:pPr>
      <w:r>
        <w:t>Contents</w:t>
      </w:r>
    </w:p>
    <w:tbl>
      <w:tblPr>
        <w:tblStyle w:val="TableGrid"/>
        <w:tblW w:type="auto" w:w="0"/>
        <w:tblLayout w:type="fixed"/>
        <w:tblLook w:firstColumn="1" w:firstRow="1" w:lastColumn="0" w:lastRow="0" w:noHBand="0" w:noVBand="1" w:val="04A0"/>
      </w:tblPr>
      <w:tblGrid>
        <w:gridCol w:w="3331"/>
        <w:gridCol w:w="3331"/>
        <w:gridCol w:w="3331"/>
      </w:tblGrid>
      <w:tr>
        <w:trPr>
          <w:trHeight w:hRule="atLeast"/>
          <w:tblHeader w:val="true"/>
          <w:cantSplit w:val="true"/>
        </w:trPr>
        <w:tc>
          <w:tcPr>
            <w:tcW w:type="dxa" w:w="1440"/>
            <w:shd w:fill="244C5A"/>
            <w:tcMar>
              <w:top w:w="82" w:type="dxa"/>
              <w:start w:w="100" w:type="dxa"/>
              <w:bottom w:w="82" w:type="dxa"/>
              <w:end w:w="100" w:type="dxa"/>
            </w:tcMar>
            <w:vAlign w:val="center"/>
          </w:tcPr>
          <w:p>
            <w:pPr>
              <w:spacing w:after="0"/>
            </w:pPr>
            <w:r>
              <w:rPr>
                <w:b/>
                <w:color w:val="FFFFFF"/>
                <w:sz w:val="17"/>
              </w:rPr>
              <w:t>Page group</w:t>
            </w:r>
          </w:p>
        </w:tc>
        <w:tc>
          <w:tcPr>
            <w:tcW w:type="dxa" w:w="3600"/>
            <w:shd w:fill="244C5A"/>
            <w:tcMar>
              <w:top w:w="82" w:type="dxa"/>
              <w:start w:w="100" w:type="dxa"/>
              <w:bottom w:w="82" w:type="dxa"/>
              <w:end w:w="100" w:type="dxa"/>
            </w:tcMar>
            <w:vAlign w:val="center"/>
          </w:tcPr>
          <w:p>
            <w:pPr>
              <w:spacing w:after="0"/>
            </w:pPr>
            <w:r>
              <w:rPr>
                <w:b/>
                <w:color w:val="FFFFFF"/>
                <w:sz w:val="17"/>
              </w:rPr>
              <w:t>Title</w:t>
            </w:r>
          </w:p>
        </w:tc>
        <w:tc>
          <w:tcPr>
            <w:tcW w:type="dxa" w:w="5400"/>
            <w:shd w:fill="244C5A"/>
            <w:tcMar>
              <w:top w:w="82" w:type="dxa"/>
              <w:start w:w="100" w:type="dxa"/>
              <w:bottom w:w="82" w:type="dxa"/>
              <w:end w:w="100" w:type="dxa"/>
            </w:tcMar>
            <w:vAlign w:val="center"/>
          </w:tcPr>
          <w:p>
            <w:pPr>
              <w:spacing w:after="0"/>
            </w:pPr>
            <w:r>
              <w:rPr>
                <w:b/>
                <w:color w:val="FFFFFF"/>
                <w:sz w:val="17"/>
              </w:rPr>
              <w:t>Purpose</w:t>
            </w:r>
          </w:p>
        </w:tc>
      </w:tr>
      <w:tr>
        <w:trPr>
          <w:cantSplit w:val="true"/>
          <w:trHeight w:hRule="atLeast"/>
        </w:trPr>
        <w:tc>
          <w:tcPr>
            <w:tcW w:type="dxa" w:w="1440"/>
            <w:shd w:fill="FFFFFF"/>
            <w:tcMar>
              <w:top w:w="68" w:type="dxa"/>
              <w:start w:w="100" w:type="dxa"/>
              <w:bottom w:w="68" w:type="dxa"/>
              <w:end w:w="100" w:type="dxa"/>
            </w:tcMar>
            <w:vAlign w:val="top"/>
          </w:tcPr>
          <w:p>
            <w:pPr>
              <w:spacing w:after="0" w:line="240" w:lineRule="auto"/>
            </w:pPr>
            <w:r>
              <w:rPr>
                <w:b/>
                <w:color w:val="2D3436"/>
                <w:sz w:val="17"/>
              </w:rPr>
              <w:t>Hub page</w:t>
            </w:r>
          </w:p>
        </w:tc>
        <w:tc>
          <w:tcPr>
            <w:tcW w:type="dxa" w:w="3600"/>
            <w:shd w:fill="FFFFFF"/>
            <w:tcMar>
              <w:top w:w="68" w:type="dxa"/>
              <w:start w:w="100" w:type="dxa"/>
              <w:bottom w:w="68" w:type="dxa"/>
              <w:end w:w="100" w:type="dxa"/>
            </w:tcMar>
            <w:vAlign w:val="top"/>
          </w:tcPr>
          <w:p>
            <w:pPr>
              <w:spacing w:after="0" w:line="240" w:lineRule="auto"/>
            </w:pPr>
            <w:r>
              <w:rPr>
                <w:sz w:val="17"/>
              </w:rPr>
              <w:t>Nine Autonomies</w:t>
            </w:r>
          </w:p>
        </w:tc>
        <w:tc>
          <w:tcPr>
            <w:tcW w:type="dxa" w:w="5400"/>
            <w:shd w:fill="FFFFFF"/>
            <w:tcMar>
              <w:top w:w="68" w:type="dxa"/>
              <w:start w:w="100" w:type="dxa"/>
              <w:bottom w:w="68" w:type="dxa"/>
              <w:end w:w="100" w:type="dxa"/>
            </w:tcMar>
            <w:vAlign w:val="top"/>
          </w:tcPr>
          <w:p>
            <w:pPr>
              <w:spacing w:after="0" w:line="240" w:lineRule="auto"/>
            </w:pPr>
            <w:r>
              <w:rPr>
                <w:sz w:val="17"/>
              </w:rPr>
              <w:t>System definition, dependency logic and card copy</w:t>
            </w:r>
          </w:p>
        </w:tc>
      </w:tr>
      <w:tr>
        <w:trPr>
          <w:cantSplit w:val="true"/>
          <w:trHeight w:hRule="atLeast"/>
        </w:trPr>
        <w:tc>
          <w:tcPr>
            <w:tcW w:type="dxa" w:w="1440"/>
            <w:shd w:fill="F3F4F4"/>
            <w:tcMar>
              <w:top w:w="68" w:type="dxa"/>
              <w:start w:w="100" w:type="dxa"/>
              <w:bottom w:w="68" w:type="dxa"/>
              <w:end w:w="100" w:type="dxa"/>
            </w:tcMar>
            <w:vAlign w:val="top"/>
          </w:tcPr>
          <w:p>
            <w:pPr>
              <w:spacing w:after="0" w:line="240" w:lineRule="auto"/>
            </w:pPr>
            <w:r>
              <w:rPr>
                <w:b/>
                <w:color w:val="2D3436"/>
                <w:sz w:val="17"/>
              </w:rPr>
              <w:t>01</w:t>
            </w:r>
          </w:p>
        </w:tc>
        <w:tc>
          <w:tcPr>
            <w:tcW w:type="dxa" w:w="3600"/>
            <w:shd w:fill="F3F4F4"/>
            <w:tcMar>
              <w:top w:w="68" w:type="dxa"/>
              <w:start w:w="100" w:type="dxa"/>
              <w:bottom w:w="68" w:type="dxa"/>
              <w:end w:w="100" w:type="dxa"/>
            </w:tcMar>
            <w:vAlign w:val="top"/>
          </w:tcPr>
          <w:p>
            <w:pPr>
              <w:spacing w:after="0" w:line="240" w:lineRule="auto"/>
            </w:pPr>
            <w:r>
              <w:rPr>
                <w:sz w:val="17"/>
              </w:rPr>
              <w:t>Housing Autonomy</w:t>
            </w:r>
          </w:p>
        </w:tc>
        <w:tc>
          <w:tcPr>
            <w:tcW w:type="dxa" w:w="5400"/>
            <w:shd w:fill="F3F4F4"/>
            <w:tcMar>
              <w:top w:w="68" w:type="dxa"/>
              <w:start w:w="100" w:type="dxa"/>
              <w:bottom w:w="68" w:type="dxa"/>
              <w:end w:w="100" w:type="dxa"/>
            </w:tcMar>
            <w:vAlign w:val="top"/>
          </w:tcPr>
          <w:p>
            <w:pPr>
              <w:spacing w:after="0" w:line="240" w:lineRule="auto"/>
            </w:pPr>
            <w:r>
              <w:rPr>
                <w:sz w:val="17"/>
              </w:rPr>
              <w:t>Land, delivery, tenure and housing stability</w:t>
            </w:r>
          </w:p>
        </w:tc>
      </w:tr>
      <w:tr>
        <w:trPr>
          <w:cantSplit w:val="true"/>
          <w:trHeight w:hRule="atLeast"/>
        </w:trPr>
        <w:tc>
          <w:tcPr>
            <w:tcW w:type="dxa" w:w="1440"/>
            <w:shd w:fill="FFFFFF"/>
            <w:tcMar>
              <w:top w:w="68" w:type="dxa"/>
              <w:start w:w="100" w:type="dxa"/>
              <w:bottom w:w="68" w:type="dxa"/>
              <w:end w:w="100" w:type="dxa"/>
            </w:tcMar>
            <w:vAlign w:val="top"/>
          </w:tcPr>
          <w:p>
            <w:pPr>
              <w:spacing w:after="0" w:line="240" w:lineRule="auto"/>
            </w:pPr>
            <w:r>
              <w:rPr>
                <w:b/>
                <w:color w:val="2D3436"/>
                <w:sz w:val="17"/>
              </w:rPr>
              <w:t>02</w:t>
            </w:r>
          </w:p>
        </w:tc>
        <w:tc>
          <w:tcPr>
            <w:tcW w:type="dxa" w:w="3600"/>
            <w:shd w:fill="FFFFFF"/>
            <w:tcMar>
              <w:top w:w="68" w:type="dxa"/>
              <w:start w:w="100" w:type="dxa"/>
              <w:bottom w:w="68" w:type="dxa"/>
              <w:end w:w="100" w:type="dxa"/>
            </w:tcMar>
            <w:vAlign w:val="top"/>
          </w:tcPr>
          <w:p>
            <w:pPr>
              <w:spacing w:after="0" w:line="240" w:lineRule="auto"/>
            </w:pPr>
            <w:r>
              <w:rPr>
                <w:sz w:val="17"/>
              </w:rPr>
              <w:t>Municipal Grocery Autonomy</w:t>
            </w:r>
          </w:p>
        </w:tc>
        <w:tc>
          <w:tcPr>
            <w:tcW w:type="dxa" w:w="5400"/>
            <w:shd w:fill="FFFFFF"/>
            <w:tcMar>
              <w:top w:w="68" w:type="dxa"/>
              <w:start w:w="100" w:type="dxa"/>
              <w:bottom w:w="68" w:type="dxa"/>
              <w:end w:w="100" w:type="dxa"/>
            </w:tcMar>
            <w:vAlign w:val="top"/>
          </w:tcPr>
          <w:p>
            <w:pPr>
              <w:spacing w:after="0" w:line="240" w:lineRule="auto"/>
            </w:pPr>
            <w:r>
              <w:rPr>
                <w:sz w:val="17"/>
              </w:rPr>
              <w:t>Procurement, distribution, price access and emergency food coordination</w:t>
            </w:r>
          </w:p>
        </w:tc>
      </w:tr>
      <w:tr>
        <w:trPr>
          <w:cantSplit w:val="true"/>
          <w:trHeight w:hRule="atLeast"/>
        </w:trPr>
        <w:tc>
          <w:tcPr>
            <w:tcW w:type="dxa" w:w="1440"/>
            <w:shd w:fill="F3F4F4"/>
            <w:tcMar>
              <w:top w:w="68" w:type="dxa"/>
              <w:start w:w="100" w:type="dxa"/>
              <w:bottom w:w="68" w:type="dxa"/>
              <w:end w:w="100" w:type="dxa"/>
            </w:tcMar>
            <w:vAlign w:val="top"/>
          </w:tcPr>
          <w:p>
            <w:pPr>
              <w:spacing w:after="0" w:line="240" w:lineRule="auto"/>
            </w:pPr>
            <w:r>
              <w:rPr>
                <w:b/>
                <w:color w:val="2D3436"/>
                <w:sz w:val="17"/>
              </w:rPr>
              <w:t>03</w:t>
            </w:r>
          </w:p>
        </w:tc>
        <w:tc>
          <w:tcPr>
            <w:tcW w:type="dxa" w:w="3600"/>
            <w:shd w:fill="F3F4F4"/>
            <w:tcMar>
              <w:top w:w="68" w:type="dxa"/>
              <w:start w:w="100" w:type="dxa"/>
              <w:bottom w:w="68" w:type="dxa"/>
              <w:end w:w="100" w:type="dxa"/>
            </w:tcMar>
            <w:vAlign w:val="top"/>
          </w:tcPr>
          <w:p>
            <w:pPr>
              <w:spacing w:after="0" w:line="240" w:lineRule="auto"/>
            </w:pPr>
            <w:r>
              <w:rPr>
                <w:sz w:val="17"/>
              </w:rPr>
              <w:t>Fuel Autonomy</w:t>
            </w:r>
          </w:p>
        </w:tc>
        <w:tc>
          <w:tcPr>
            <w:tcW w:type="dxa" w:w="5400"/>
            <w:shd w:fill="F3F4F4"/>
            <w:tcMar>
              <w:top w:w="68" w:type="dxa"/>
              <w:start w:w="100" w:type="dxa"/>
              <w:bottom w:w="68" w:type="dxa"/>
              <w:end w:w="100" w:type="dxa"/>
            </w:tcMar>
            <w:vAlign w:val="top"/>
          </w:tcPr>
          <w:p>
            <w:pPr>
              <w:spacing w:after="0" w:line="240" w:lineRule="auto"/>
            </w:pPr>
            <w:r>
              <w:rPr>
                <w:sz w:val="17"/>
              </w:rPr>
              <w:t>Fuel aggregation, supply resilience and lawful retail options</w:t>
            </w:r>
          </w:p>
        </w:tc>
      </w:tr>
      <w:tr>
        <w:trPr>
          <w:cantSplit w:val="true"/>
          <w:trHeight w:hRule="atLeast"/>
        </w:trPr>
        <w:tc>
          <w:tcPr>
            <w:tcW w:type="dxa" w:w="1440"/>
            <w:shd w:fill="FFFFFF"/>
            <w:tcMar>
              <w:top w:w="68" w:type="dxa"/>
              <w:start w:w="100" w:type="dxa"/>
              <w:bottom w:w="68" w:type="dxa"/>
              <w:end w:w="100" w:type="dxa"/>
            </w:tcMar>
            <w:vAlign w:val="top"/>
          </w:tcPr>
          <w:p>
            <w:pPr>
              <w:spacing w:after="0" w:line="240" w:lineRule="auto"/>
            </w:pPr>
            <w:r>
              <w:rPr>
                <w:b/>
                <w:color w:val="2D3436"/>
                <w:sz w:val="17"/>
              </w:rPr>
              <w:t>04</w:t>
            </w:r>
          </w:p>
        </w:tc>
        <w:tc>
          <w:tcPr>
            <w:tcW w:type="dxa" w:w="3600"/>
            <w:shd w:fill="FFFFFF"/>
            <w:tcMar>
              <w:top w:w="68" w:type="dxa"/>
              <w:start w:w="100" w:type="dxa"/>
              <w:bottom w:w="68" w:type="dxa"/>
              <w:end w:w="100" w:type="dxa"/>
            </w:tcMar>
            <w:vAlign w:val="top"/>
          </w:tcPr>
          <w:p>
            <w:pPr>
              <w:spacing w:after="0" w:line="240" w:lineRule="auto"/>
            </w:pPr>
            <w:r>
              <w:rPr>
                <w:sz w:val="17"/>
              </w:rPr>
              <w:t>Healthcare Autonomy</w:t>
            </w:r>
          </w:p>
        </w:tc>
        <w:tc>
          <w:tcPr>
            <w:tcW w:type="dxa" w:w="5400"/>
            <w:shd w:fill="FFFFFF"/>
            <w:tcMar>
              <w:top w:w="68" w:type="dxa"/>
              <w:start w:w="100" w:type="dxa"/>
              <w:bottom w:w="68" w:type="dxa"/>
              <w:end w:w="100" w:type="dxa"/>
            </w:tcMar>
            <w:vAlign w:val="top"/>
          </w:tcPr>
          <w:p>
            <w:pPr>
              <w:spacing w:after="0" w:line="240" w:lineRule="auto"/>
            </w:pPr>
            <w:r>
              <w:rPr>
                <w:sz w:val="17"/>
              </w:rPr>
              <w:t>Facilities, access coordination and provincially governed care</w:t>
            </w:r>
          </w:p>
        </w:tc>
      </w:tr>
      <w:tr>
        <w:trPr>
          <w:cantSplit w:val="true"/>
          <w:trHeight w:hRule="atLeast"/>
        </w:trPr>
        <w:tc>
          <w:tcPr>
            <w:tcW w:type="dxa" w:w="1440"/>
            <w:shd w:fill="F3F4F4"/>
            <w:tcMar>
              <w:top w:w="68" w:type="dxa"/>
              <w:start w:w="100" w:type="dxa"/>
              <w:bottom w:w="68" w:type="dxa"/>
              <w:end w:w="100" w:type="dxa"/>
            </w:tcMar>
            <w:vAlign w:val="top"/>
          </w:tcPr>
          <w:p>
            <w:pPr>
              <w:spacing w:after="0" w:line="240" w:lineRule="auto"/>
            </w:pPr>
            <w:r>
              <w:rPr>
                <w:b/>
                <w:color w:val="2D3436"/>
                <w:sz w:val="17"/>
              </w:rPr>
              <w:t>05</w:t>
            </w:r>
          </w:p>
        </w:tc>
        <w:tc>
          <w:tcPr>
            <w:tcW w:type="dxa" w:w="3600"/>
            <w:shd w:fill="F3F4F4"/>
            <w:tcMar>
              <w:top w:w="68" w:type="dxa"/>
              <w:start w:w="100" w:type="dxa"/>
              <w:bottom w:w="68" w:type="dxa"/>
              <w:end w:w="100" w:type="dxa"/>
            </w:tcMar>
            <w:vAlign w:val="top"/>
          </w:tcPr>
          <w:p>
            <w:pPr>
              <w:spacing w:after="0" w:line="240" w:lineRule="auto"/>
            </w:pPr>
            <w:r>
              <w:rPr>
                <w:sz w:val="17"/>
              </w:rPr>
              <w:t>Transportation Autonomy</w:t>
            </w:r>
          </w:p>
        </w:tc>
        <w:tc>
          <w:tcPr>
            <w:tcW w:type="dxa" w:w="5400"/>
            <w:shd w:fill="F3F4F4"/>
            <w:tcMar>
              <w:top w:w="68" w:type="dxa"/>
              <w:start w:w="100" w:type="dxa"/>
              <w:bottom w:w="68" w:type="dxa"/>
              <w:end w:w="100" w:type="dxa"/>
            </w:tcMar>
            <w:vAlign w:val="top"/>
          </w:tcPr>
          <w:p>
            <w:pPr>
              <w:spacing w:after="0" w:line="240" w:lineRule="auto"/>
            </w:pPr>
            <w:r>
              <w:rPr>
                <w:sz w:val="17"/>
              </w:rPr>
              <w:t>Local and regional mobility systems</w:t>
            </w:r>
          </w:p>
        </w:tc>
      </w:tr>
      <w:tr>
        <w:trPr>
          <w:cantSplit w:val="true"/>
          <w:trHeight w:hRule="atLeast"/>
        </w:trPr>
        <w:tc>
          <w:tcPr>
            <w:tcW w:type="dxa" w:w="1440"/>
            <w:shd w:fill="FFFFFF"/>
            <w:tcMar>
              <w:top w:w="68" w:type="dxa"/>
              <w:start w:w="100" w:type="dxa"/>
              <w:bottom w:w="68" w:type="dxa"/>
              <w:end w:w="100" w:type="dxa"/>
            </w:tcMar>
            <w:vAlign w:val="top"/>
          </w:tcPr>
          <w:p>
            <w:pPr>
              <w:spacing w:after="0" w:line="240" w:lineRule="auto"/>
            </w:pPr>
            <w:r>
              <w:rPr>
                <w:b/>
                <w:color w:val="2D3436"/>
                <w:sz w:val="17"/>
              </w:rPr>
              <w:t>06</w:t>
            </w:r>
          </w:p>
        </w:tc>
        <w:tc>
          <w:tcPr>
            <w:tcW w:type="dxa" w:w="3600"/>
            <w:shd w:fill="FFFFFF"/>
            <w:tcMar>
              <w:top w:w="68" w:type="dxa"/>
              <w:start w:w="100" w:type="dxa"/>
              <w:bottom w:w="68" w:type="dxa"/>
              <w:end w:w="100" w:type="dxa"/>
            </w:tcMar>
            <w:vAlign w:val="top"/>
          </w:tcPr>
          <w:p>
            <w:pPr>
              <w:spacing w:after="0" w:line="240" w:lineRule="auto"/>
            </w:pPr>
            <w:r>
              <w:rPr>
                <w:sz w:val="17"/>
              </w:rPr>
              <w:t>Workforce &amp; Skills Autonomy</w:t>
            </w:r>
          </w:p>
        </w:tc>
        <w:tc>
          <w:tcPr>
            <w:tcW w:type="dxa" w:w="5400"/>
            <w:shd w:fill="FFFFFF"/>
            <w:tcMar>
              <w:top w:w="68" w:type="dxa"/>
              <w:start w:w="100" w:type="dxa"/>
              <w:bottom w:w="68" w:type="dxa"/>
              <w:end w:w="100" w:type="dxa"/>
            </w:tcMar>
            <w:vAlign w:val="top"/>
          </w:tcPr>
          <w:p>
            <w:pPr>
              <w:spacing w:after="0" w:line="240" w:lineRule="auto"/>
            </w:pPr>
            <w:r>
              <w:rPr>
                <w:sz w:val="17"/>
              </w:rPr>
              <w:t>Demand-linked training, placement and retention</w:t>
            </w:r>
          </w:p>
        </w:tc>
      </w:tr>
      <w:tr>
        <w:trPr>
          <w:cantSplit w:val="true"/>
          <w:trHeight w:hRule="atLeast"/>
        </w:trPr>
        <w:tc>
          <w:tcPr>
            <w:tcW w:type="dxa" w:w="1440"/>
            <w:shd w:fill="F3F4F4"/>
            <w:tcMar>
              <w:top w:w="68" w:type="dxa"/>
              <w:start w:w="100" w:type="dxa"/>
              <w:bottom w:w="68" w:type="dxa"/>
              <w:end w:w="100" w:type="dxa"/>
            </w:tcMar>
            <w:vAlign w:val="top"/>
          </w:tcPr>
          <w:p>
            <w:pPr>
              <w:spacing w:after="0" w:line="240" w:lineRule="auto"/>
            </w:pPr>
            <w:r>
              <w:rPr>
                <w:b/>
                <w:color w:val="2D3436"/>
                <w:sz w:val="17"/>
              </w:rPr>
              <w:t>07</w:t>
            </w:r>
          </w:p>
        </w:tc>
        <w:tc>
          <w:tcPr>
            <w:tcW w:type="dxa" w:w="3600"/>
            <w:shd w:fill="F3F4F4"/>
            <w:tcMar>
              <w:top w:w="68" w:type="dxa"/>
              <w:start w:w="100" w:type="dxa"/>
              <w:bottom w:w="68" w:type="dxa"/>
              <w:end w:w="100" w:type="dxa"/>
            </w:tcMar>
            <w:vAlign w:val="top"/>
          </w:tcPr>
          <w:p>
            <w:pPr>
              <w:spacing w:after="0" w:line="240" w:lineRule="auto"/>
            </w:pPr>
            <w:r>
              <w:rPr>
                <w:sz w:val="17"/>
              </w:rPr>
              <w:t>Resource Development Autonomy</w:t>
            </w:r>
          </w:p>
        </w:tc>
        <w:tc>
          <w:tcPr>
            <w:tcW w:type="dxa" w:w="5400"/>
            <w:shd w:fill="F3F4F4"/>
            <w:tcMar>
              <w:top w:w="68" w:type="dxa"/>
              <w:start w:w="100" w:type="dxa"/>
              <w:bottom w:w="68" w:type="dxa"/>
              <w:end w:w="100" w:type="dxa"/>
            </w:tcMar>
            <w:vAlign w:val="top"/>
          </w:tcPr>
          <w:p>
            <w:pPr>
              <w:spacing w:after="0" w:line="240" w:lineRule="auto"/>
            </w:pPr>
            <w:r>
              <w:rPr>
                <w:sz w:val="17"/>
              </w:rPr>
              <w:t>Natural-resource participation and water-system stewardship</w:t>
            </w:r>
          </w:p>
        </w:tc>
      </w:tr>
      <w:tr>
        <w:trPr>
          <w:cantSplit w:val="true"/>
          <w:trHeight w:hRule="atLeast"/>
        </w:trPr>
        <w:tc>
          <w:tcPr>
            <w:tcW w:type="dxa" w:w="1440"/>
            <w:shd w:fill="FFFFFF"/>
            <w:tcMar>
              <w:top w:w="68" w:type="dxa"/>
              <w:start w:w="100" w:type="dxa"/>
              <w:bottom w:w="68" w:type="dxa"/>
              <w:end w:w="100" w:type="dxa"/>
            </w:tcMar>
            <w:vAlign w:val="top"/>
          </w:tcPr>
          <w:p>
            <w:pPr>
              <w:spacing w:after="0" w:line="240" w:lineRule="auto"/>
            </w:pPr>
            <w:r>
              <w:rPr>
                <w:b/>
                <w:color w:val="2D3436"/>
                <w:sz w:val="17"/>
              </w:rPr>
              <w:t>08</w:t>
            </w:r>
          </w:p>
        </w:tc>
        <w:tc>
          <w:tcPr>
            <w:tcW w:type="dxa" w:w="3600"/>
            <w:shd w:fill="FFFFFF"/>
            <w:tcMar>
              <w:top w:w="68" w:type="dxa"/>
              <w:start w:w="100" w:type="dxa"/>
              <w:bottom w:w="68" w:type="dxa"/>
              <w:end w:w="100" w:type="dxa"/>
            </w:tcMar>
            <w:vAlign w:val="top"/>
          </w:tcPr>
          <w:p>
            <w:pPr>
              <w:spacing w:after="0" w:line="240" w:lineRule="auto"/>
            </w:pPr>
            <w:r>
              <w:rPr>
                <w:sz w:val="17"/>
              </w:rPr>
              <w:t>Energy Autonomy</w:t>
            </w:r>
          </w:p>
        </w:tc>
        <w:tc>
          <w:tcPr>
            <w:tcW w:type="dxa" w:w="5400"/>
            <w:shd w:fill="FFFFFF"/>
            <w:tcMar>
              <w:top w:w="68" w:type="dxa"/>
              <w:start w:w="100" w:type="dxa"/>
              <w:bottom w:w="68" w:type="dxa"/>
              <w:end w:w="100" w:type="dxa"/>
            </w:tcMar>
            <w:vAlign w:val="top"/>
          </w:tcPr>
          <w:p>
            <w:pPr>
              <w:spacing w:after="0" w:line="240" w:lineRule="auto"/>
            </w:pPr>
            <w:r>
              <w:rPr>
                <w:sz w:val="17"/>
              </w:rPr>
              <w:t>Efficiency, generation, storage, procurement and resilience</w:t>
            </w:r>
          </w:p>
        </w:tc>
      </w:tr>
      <w:tr>
        <w:trPr>
          <w:cantSplit w:val="true"/>
          <w:trHeight w:hRule="atLeast"/>
        </w:trPr>
        <w:tc>
          <w:tcPr>
            <w:tcW w:type="dxa" w:w="1440"/>
            <w:shd w:fill="F3F4F4"/>
            <w:tcMar>
              <w:top w:w="68" w:type="dxa"/>
              <w:start w:w="100" w:type="dxa"/>
              <w:bottom w:w="68" w:type="dxa"/>
              <w:end w:w="100" w:type="dxa"/>
            </w:tcMar>
            <w:vAlign w:val="top"/>
          </w:tcPr>
          <w:p>
            <w:pPr>
              <w:spacing w:after="0" w:line="240" w:lineRule="auto"/>
            </w:pPr>
            <w:r>
              <w:rPr>
                <w:b/>
                <w:color w:val="2D3436"/>
                <w:sz w:val="17"/>
              </w:rPr>
              <w:t>09</w:t>
            </w:r>
          </w:p>
        </w:tc>
        <w:tc>
          <w:tcPr>
            <w:tcW w:type="dxa" w:w="3600"/>
            <w:shd w:fill="F3F4F4"/>
            <w:tcMar>
              <w:top w:w="68" w:type="dxa"/>
              <w:start w:w="100" w:type="dxa"/>
              <w:bottom w:w="68" w:type="dxa"/>
              <w:end w:w="100" w:type="dxa"/>
            </w:tcMar>
            <w:vAlign w:val="top"/>
          </w:tcPr>
          <w:p>
            <w:pPr>
              <w:spacing w:after="0" w:line="240" w:lineRule="auto"/>
            </w:pPr>
            <w:r>
              <w:rPr>
                <w:sz w:val="17"/>
              </w:rPr>
              <w:t>Digital &amp; Communications Autonomy</w:t>
            </w:r>
          </w:p>
        </w:tc>
        <w:tc>
          <w:tcPr>
            <w:tcW w:type="dxa" w:w="5400"/>
            <w:shd w:fill="F3F4F4"/>
            <w:tcMar>
              <w:top w:w="68" w:type="dxa"/>
              <w:start w:w="100" w:type="dxa"/>
              <w:bottom w:w="68" w:type="dxa"/>
              <w:end w:w="100" w:type="dxa"/>
            </w:tcMar>
            <w:vAlign w:val="top"/>
          </w:tcPr>
          <w:p>
            <w:pPr>
              <w:spacing w:after="0" w:line="240" w:lineRule="auto"/>
            </w:pPr>
            <w:r>
              <w:rPr>
                <w:sz w:val="17"/>
              </w:rPr>
              <w:t>Broadband infrastructure, service access and communications resilience</w:t>
            </w:r>
          </w:p>
        </w:tc>
      </w:tr>
      <w:tr>
        <w:trPr>
          <w:cantSplit w:val="true"/>
          <w:trHeight w:hRule="atLeast"/>
        </w:trPr>
        <w:tc>
          <w:tcPr>
            <w:tcW w:type="dxa" w:w="1440"/>
            <w:shd w:fill="FFFFFF"/>
            <w:tcMar>
              <w:top w:w="68" w:type="dxa"/>
              <w:start w:w="100" w:type="dxa"/>
              <w:bottom w:w="68" w:type="dxa"/>
              <w:end w:w="100" w:type="dxa"/>
            </w:tcMar>
            <w:vAlign w:val="top"/>
          </w:tcPr>
          <w:p>
            <w:pPr>
              <w:spacing w:after="0" w:line="240" w:lineRule="auto"/>
            </w:pPr>
            <w:r>
              <w:rPr>
                <w:b/>
                <w:color w:val="2D3436"/>
                <w:sz w:val="17"/>
              </w:rPr>
              <w:t>Editor notes</w:t>
            </w:r>
          </w:p>
        </w:tc>
        <w:tc>
          <w:tcPr>
            <w:tcW w:type="dxa" w:w="3600"/>
            <w:shd w:fill="FFFFFF"/>
            <w:tcMar>
              <w:top w:w="68" w:type="dxa"/>
              <w:start w:w="100" w:type="dxa"/>
              <w:bottom w:w="68" w:type="dxa"/>
              <w:end w:w="100" w:type="dxa"/>
            </w:tcMar>
            <w:vAlign w:val="top"/>
          </w:tcPr>
          <w:p>
            <w:pPr>
              <w:spacing w:after="0" w:line="240" w:lineRule="auto"/>
            </w:pPr>
            <w:r>
              <w:rPr>
                <w:sz w:val="17"/>
              </w:rPr>
              <w:t>Site-wide revisions</w:t>
            </w:r>
          </w:p>
        </w:tc>
        <w:tc>
          <w:tcPr>
            <w:tcW w:type="dxa" w:w="5400"/>
            <w:shd w:fill="FFFFFF"/>
            <w:tcMar>
              <w:top w:w="68" w:type="dxa"/>
              <w:start w:w="100" w:type="dxa"/>
              <w:bottom w:w="68" w:type="dxa"/>
              <w:end w:w="100" w:type="dxa"/>
            </w:tcMar>
            <w:vAlign w:val="top"/>
          </w:tcPr>
          <w:p>
            <w:pPr>
              <w:spacing w:after="0" w:line="240" w:lineRule="auto"/>
            </w:pPr>
            <w:r>
              <w:rPr>
                <w:sz w:val="17"/>
              </w:rPr>
              <w:t>Navigation, claims, research page and governance</w:t>
            </w:r>
          </w:p>
        </w:tc>
      </w:tr>
      <w:tr>
        <w:trPr>
          <w:cantSplit w:val="true"/>
          <w:trHeight w:hRule="atLeast"/>
        </w:trPr>
        <w:tc>
          <w:tcPr>
            <w:tcW w:type="dxa" w:w="1440"/>
            <w:shd w:fill="F3F4F4"/>
            <w:tcMar>
              <w:top w:w="68" w:type="dxa"/>
              <w:start w:w="100" w:type="dxa"/>
              <w:bottom w:w="68" w:type="dxa"/>
              <w:end w:w="100" w:type="dxa"/>
            </w:tcMar>
            <w:vAlign w:val="top"/>
          </w:tcPr>
          <w:p>
            <w:pPr>
              <w:spacing w:after="0" w:line="240" w:lineRule="auto"/>
            </w:pPr>
            <w:r>
              <w:rPr>
                <w:b/>
                <w:color w:val="2D3436"/>
                <w:sz w:val="17"/>
              </w:rPr>
              <w:t>Appendix</w:t>
            </w:r>
          </w:p>
        </w:tc>
        <w:tc>
          <w:tcPr>
            <w:tcW w:type="dxa" w:w="3600"/>
            <w:shd w:fill="F3F4F4"/>
            <w:tcMar>
              <w:top w:w="68" w:type="dxa"/>
              <w:start w:w="100" w:type="dxa"/>
              <w:bottom w:w="68" w:type="dxa"/>
              <w:end w:w="100" w:type="dxa"/>
            </w:tcMar>
            <w:vAlign w:val="top"/>
          </w:tcPr>
          <w:p>
            <w:pPr>
              <w:spacing w:after="0" w:line="240" w:lineRule="auto"/>
            </w:pPr>
            <w:r>
              <w:rPr>
                <w:sz w:val="17"/>
              </w:rPr>
              <w:t>Source register</w:t>
            </w:r>
          </w:p>
        </w:tc>
        <w:tc>
          <w:tcPr>
            <w:tcW w:type="dxa" w:w="5400"/>
            <w:shd w:fill="F3F4F4"/>
            <w:tcMar>
              <w:top w:w="68" w:type="dxa"/>
              <w:start w:w="100" w:type="dxa"/>
              <w:bottom w:w="68" w:type="dxa"/>
              <w:end w:w="100" w:type="dxa"/>
            </w:tcMar>
            <w:vAlign w:val="top"/>
          </w:tcPr>
          <w:p>
            <w:pPr>
              <w:spacing w:after="0" w:line="240" w:lineRule="auto"/>
            </w:pPr>
            <w:r>
              <w:rPr>
                <w:sz w:val="17"/>
              </w:rPr>
              <w:t>Primary public references and claim limits</w:t>
            </w:r>
          </w:p>
        </w:tc>
      </w:tr>
    </w:tbl>
    <w:p>
      <w:pPr>
        <w:spacing w:after="0" w:line="40" w:lineRule="exact"/>
      </w:pPr>
      <w:r>
        <w:rPr>
          <w:sz w:val="2"/>
        </w:rPr>
        <w:t xml:space="preserve"> </w:t>
      </w:r>
    </w:p>
    <w:p>
      <w:r>
        <w:br w:type="page"/>
      </w:r>
    </w:p>
    <w:p>
      <w:pPr>
        <w:pStyle w:val="Kicker"/>
        <w:keepNext w:val="1"/>
        <w:keepLines w:val="1"/>
      </w:pPr>
      <w:r>
        <w:t>PUBLISH AS /AUTONOMIES</w:t>
      </w:r>
    </w:p>
    <w:p>
      <w:pPr>
        <w:pStyle w:val="TitlePage"/>
        <w:keepNext w:val="1"/>
        <w:keepLines w:val="1"/>
      </w:pPr>
      <w:bookmarkStart w:id="152311" w:name="hub"/>
      <w:bookmarkEnd w:id="152311"/>
      <w:r>
        <w:t>The Nine Autonomies</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The CDMM framework organizes municipal capacity into nine connected fields. Each field answers a different operating question; together they provide a complete structure for testing how a community can meet essential needs, retain local capability and report results.</w:t>
            </w:r>
          </w:p>
        </w:tc>
      </w:tr>
    </w:tbl>
    <w:p>
      <w:pPr>
        <w:spacing w:after="0"/>
      </w:pPr>
    </w:p>
    <w:p>
      <w:pPr>
        <w:pStyle w:val="Heading1"/>
        <w:keepNext w:val="1"/>
        <w:keepLines w:val="1"/>
      </w:pPr>
      <w:r>
        <w:t>A complete framework that can adapt</w:t>
      </w:r>
    </w:p>
    <w:p>
      <w:pPr>
        <w:pStyle w:val="BodyText"/>
      </w:pPr>
      <w:r>
        <w:t>CDMM is complete without being fixed. The nine Autonomies define the stable architecture. What a municipality builds inside them must respond to its population, geography, fiscal capacity, Indigenous and regional relationships, provincial law, existing public services and private markets. A rural community may begin with broadband and on-demand transportation; an urban municipality may begin with housing delivery and primary-care access. Both use the same nine-field map, which allows decisions and results to be compared without forcing identical projects.</w:t>
      </w:r>
    </w:p>
    <w:p>
      <w:pPr>
        <w:pStyle w:val="BodyText"/>
      </w:pPr>
      <w:r>
        <w:t>Autonomy means local capability, not isolation. A municipality can own an asset, procure a service, create a municipal corporation, enter a joint venture, contract a private operator, work through a nonprofit, or form an Indigenous or intermunicipal partnership. Private businesses, farmers, contractors, unions, health professionals, colleges and community organizations remain delivery partners. CDMM does not require a municipal monopoly.</w:t>
      </w:r>
    </w:p>
    <w:p>
      <w:pPr>
        <w:pStyle w:val="Heading1"/>
        <w:keepNext w:val="1"/>
        <w:keepLines w:val="1"/>
      </w:pPr>
      <w:r>
        <w:t>The nine fields</w:t>
      </w:r>
    </w:p>
    <w:tbl>
      <w:tblPr>
        <w:tblStyle w:val="TableGrid"/>
        <w:tblW w:type="auto" w:w="0"/>
        <w:tblLayout w:type="fixed"/>
        <w:tblLook w:firstColumn="1" w:firstRow="1" w:lastColumn="0" w:lastRow="0" w:noHBand="0" w:noVBand="1" w:val="04A0"/>
      </w:tblPr>
      <w:tblGrid>
        <w:gridCol w:w="3331"/>
        <w:gridCol w:w="3331"/>
        <w:gridCol w:w="3331"/>
      </w:tblGrid>
      <w:tr>
        <w:trPr>
          <w:trHeight w:hRule="atLeast"/>
          <w:tblHeader w:val="true"/>
          <w:cantSplit w:val="true"/>
        </w:trPr>
        <w:tc>
          <w:tcPr>
            <w:tcW w:type="dxa" w:w="2016"/>
            <w:shd w:fill="244C5A"/>
            <w:tcMar>
              <w:top w:w="58" w:type="dxa"/>
              <w:start w:w="100" w:type="dxa"/>
              <w:bottom w:w="58" w:type="dxa"/>
              <w:end w:w="100" w:type="dxa"/>
            </w:tcMar>
            <w:vAlign w:val="center"/>
          </w:tcPr>
          <w:p>
            <w:pPr>
              <w:spacing w:after="0"/>
            </w:pPr>
            <w:r>
              <w:rPr>
                <w:b/>
                <w:color w:val="FFFFFF"/>
                <w:sz w:val="16"/>
              </w:rPr>
              <w:t>Autonomy</w:t>
            </w:r>
          </w:p>
        </w:tc>
        <w:tc>
          <w:tcPr>
            <w:tcW w:type="dxa" w:w="5256"/>
            <w:shd w:fill="244C5A"/>
            <w:tcMar>
              <w:top w:w="58" w:type="dxa"/>
              <w:start w:w="100" w:type="dxa"/>
              <w:bottom w:w="58" w:type="dxa"/>
              <w:end w:w="100" w:type="dxa"/>
            </w:tcMar>
            <w:vAlign w:val="center"/>
          </w:tcPr>
          <w:p>
            <w:pPr>
              <w:spacing w:after="0"/>
            </w:pPr>
            <w:r>
              <w:rPr>
                <w:b/>
                <w:color w:val="FFFFFF"/>
                <w:sz w:val="16"/>
              </w:rPr>
              <w:t>Core operating question</w:t>
            </w:r>
          </w:p>
        </w:tc>
        <w:tc>
          <w:tcPr>
            <w:tcW w:type="dxa" w:w="3168"/>
            <w:shd w:fill="244C5A"/>
            <w:tcMar>
              <w:top w:w="58" w:type="dxa"/>
              <w:start w:w="100" w:type="dxa"/>
              <w:bottom w:w="58" w:type="dxa"/>
              <w:end w:w="100" w:type="dxa"/>
            </w:tcMar>
            <w:vAlign w:val="center"/>
          </w:tcPr>
          <w:p>
            <w:pPr>
              <w:spacing w:after="0"/>
            </w:pPr>
            <w:r>
              <w:rPr>
                <w:b/>
                <w:color w:val="FFFFFF"/>
                <w:sz w:val="16"/>
              </w:rPr>
              <w:t>Decisive measures</w:t>
            </w:r>
          </w:p>
        </w:tc>
      </w:tr>
      <w:tr>
        <w:trPr>
          <w:cantSplit w:val="true"/>
          <w:trHeight w:hRule="atLeast"/>
        </w:trPr>
        <w:tc>
          <w:tcPr>
            <w:tcW w:type="dxa" w:w="2016"/>
            <w:shd w:fill="FFFFFF"/>
            <w:tcMar>
              <w:top w:w="42" w:type="dxa"/>
              <w:start w:w="100" w:type="dxa"/>
              <w:bottom w:w="42" w:type="dxa"/>
              <w:end w:w="100" w:type="dxa"/>
            </w:tcMar>
            <w:vAlign w:val="top"/>
          </w:tcPr>
          <w:p>
            <w:pPr>
              <w:spacing w:after="0" w:line="240" w:lineRule="auto"/>
            </w:pPr>
            <w:r>
              <w:rPr>
                <w:b/>
                <w:color w:val="2D3436"/>
                <w:sz w:val="15"/>
              </w:rPr>
              <w:t>Housing</w:t>
            </w:r>
          </w:p>
        </w:tc>
        <w:tc>
          <w:tcPr>
            <w:tcW w:type="dxa" w:w="5256"/>
            <w:shd w:fill="FFFFFF"/>
            <w:tcMar>
              <w:top w:w="42" w:type="dxa"/>
              <w:start w:w="100" w:type="dxa"/>
              <w:bottom w:w="42" w:type="dxa"/>
              <w:end w:w="100" w:type="dxa"/>
            </w:tcMar>
            <w:vAlign w:val="top"/>
          </w:tcPr>
          <w:p>
            <w:pPr>
              <w:spacing w:after="0" w:line="240" w:lineRule="auto"/>
            </w:pPr>
            <w:r>
              <w:rPr>
                <w:sz w:val="15"/>
              </w:rPr>
              <w:t>Can the municipality convert land, approvals and capital into stable homes and defensible tenure pathways?</w:t>
            </w:r>
          </w:p>
        </w:tc>
        <w:tc>
          <w:tcPr>
            <w:tcW w:type="dxa" w:w="3168"/>
            <w:shd w:fill="FFFFFF"/>
            <w:tcMar>
              <w:top w:w="42" w:type="dxa"/>
              <w:start w:w="100" w:type="dxa"/>
              <w:bottom w:w="42" w:type="dxa"/>
              <w:end w:w="100" w:type="dxa"/>
            </w:tcMar>
            <w:vAlign w:val="top"/>
          </w:tcPr>
          <w:p>
            <w:pPr>
              <w:spacing w:after="0" w:line="240" w:lineRule="auto"/>
            </w:pPr>
            <w:r>
              <w:rPr>
                <w:sz w:val="15"/>
              </w:rPr>
              <w:t>Net homes delivered; time and full cost per unit; housing stability; reserve coverage</w:t>
            </w:r>
          </w:p>
        </w:tc>
      </w:tr>
      <w:tr>
        <w:trPr>
          <w:cantSplit w:val="true"/>
          <w:trHeight w:hRule="atLeast"/>
        </w:trPr>
        <w:tc>
          <w:tcPr>
            <w:tcW w:type="dxa" w:w="2016"/>
            <w:shd w:fill="F3F4F4"/>
            <w:tcMar>
              <w:top w:w="42" w:type="dxa"/>
              <w:start w:w="100" w:type="dxa"/>
              <w:bottom w:w="42" w:type="dxa"/>
              <w:end w:w="100" w:type="dxa"/>
            </w:tcMar>
            <w:vAlign w:val="top"/>
          </w:tcPr>
          <w:p>
            <w:pPr>
              <w:spacing w:after="0" w:line="240" w:lineRule="auto"/>
            </w:pPr>
            <w:r>
              <w:rPr>
                <w:b/>
                <w:color w:val="2D3436"/>
                <w:sz w:val="15"/>
              </w:rPr>
              <w:t>Municipal Grocery</w:t>
            </w:r>
          </w:p>
        </w:tc>
        <w:tc>
          <w:tcPr>
            <w:tcW w:type="dxa" w:w="5256"/>
            <w:shd w:fill="F3F4F4"/>
            <w:tcMar>
              <w:top w:w="42" w:type="dxa"/>
              <w:start w:w="100" w:type="dxa"/>
              <w:bottom w:w="42" w:type="dxa"/>
              <w:end w:w="100" w:type="dxa"/>
            </w:tcMar>
            <w:vAlign w:val="top"/>
          </w:tcPr>
          <w:p>
            <w:pPr>
              <w:spacing w:after="0" w:line="240" w:lineRule="auto"/>
            </w:pPr>
            <w:r>
              <w:rPr>
                <w:sz w:val="15"/>
              </w:rPr>
              <w:t>Can a municipal enterprise improve food access and procurement without hiding subsidy or displacing viable private supply?</w:t>
            </w:r>
          </w:p>
        </w:tc>
        <w:tc>
          <w:tcPr>
            <w:tcW w:type="dxa" w:w="3168"/>
            <w:shd w:fill="F3F4F4"/>
            <w:tcMar>
              <w:top w:w="42" w:type="dxa"/>
              <w:start w:w="100" w:type="dxa"/>
              <w:bottom w:w="42" w:type="dxa"/>
              <w:end w:w="100" w:type="dxa"/>
            </w:tcMar>
            <w:vAlign w:val="top"/>
          </w:tcPr>
          <w:p>
            <w:pPr>
              <w:spacing w:after="0" w:line="240" w:lineRule="auto"/>
            </w:pPr>
            <w:r>
              <w:rPr>
                <w:sz w:val="15"/>
              </w:rPr>
              <w:t>Comparable basket price; reach; spoilage; operating coverage; food-security outcomes</w:t>
            </w:r>
          </w:p>
        </w:tc>
      </w:tr>
      <w:tr>
        <w:trPr>
          <w:cantSplit w:val="true"/>
          <w:trHeight w:hRule="atLeast"/>
        </w:trPr>
        <w:tc>
          <w:tcPr>
            <w:tcW w:type="dxa" w:w="2016"/>
            <w:shd w:fill="FFFFFF"/>
            <w:tcMar>
              <w:top w:w="42" w:type="dxa"/>
              <w:start w:w="100" w:type="dxa"/>
              <w:bottom w:w="42" w:type="dxa"/>
              <w:end w:w="100" w:type="dxa"/>
            </w:tcMar>
            <w:vAlign w:val="top"/>
          </w:tcPr>
          <w:p>
            <w:pPr>
              <w:spacing w:after="0" w:line="240" w:lineRule="auto"/>
            </w:pPr>
            <w:r>
              <w:rPr>
                <w:b/>
                <w:color w:val="2D3436"/>
                <w:sz w:val="15"/>
              </w:rPr>
              <w:t>Fuel</w:t>
            </w:r>
          </w:p>
        </w:tc>
        <w:tc>
          <w:tcPr>
            <w:tcW w:type="dxa" w:w="5256"/>
            <w:shd w:fill="FFFFFF"/>
            <w:tcMar>
              <w:top w:w="42" w:type="dxa"/>
              <w:start w:w="100" w:type="dxa"/>
              <w:bottom w:w="42" w:type="dxa"/>
              <w:end w:w="100" w:type="dxa"/>
            </w:tcMar>
            <w:vAlign w:val="top"/>
          </w:tcPr>
          <w:p>
            <w:pPr>
              <w:spacing w:after="0" w:line="240" w:lineRule="auto"/>
            </w:pPr>
            <w:r>
              <w:rPr>
                <w:sz w:val="15"/>
              </w:rPr>
              <w:t>Can aggregated demand improve supply reliability or landed cost under a safe and lawful model?</w:t>
            </w:r>
          </w:p>
        </w:tc>
        <w:tc>
          <w:tcPr>
            <w:tcW w:type="dxa" w:w="3168"/>
            <w:shd w:fill="FFFFFF"/>
            <w:tcMar>
              <w:top w:w="42" w:type="dxa"/>
              <w:start w:w="100" w:type="dxa"/>
              <w:bottom w:w="42" w:type="dxa"/>
              <w:end w:w="100" w:type="dxa"/>
            </w:tcMar>
            <w:vAlign w:val="top"/>
          </w:tcPr>
          <w:p>
            <w:pPr>
              <w:spacing w:after="0" w:line="240" w:lineRule="auto"/>
            </w:pPr>
            <w:r>
              <w:rPr>
                <w:sz w:val="15"/>
              </w:rPr>
              <w:t>Delivered cost per litre; throughput; stockouts; subsidy per litre; safety incidents</w:t>
            </w:r>
          </w:p>
        </w:tc>
      </w:tr>
      <w:tr>
        <w:trPr>
          <w:cantSplit w:val="true"/>
          <w:trHeight w:hRule="atLeast"/>
        </w:trPr>
        <w:tc>
          <w:tcPr>
            <w:tcW w:type="dxa" w:w="2016"/>
            <w:shd w:fill="F3F4F4"/>
            <w:tcMar>
              <w:top w:w="42" w:type="dxa"/>
              <w:start w:w="100" w:type="dxa"/>
              <w:bottom w:w="42" w:type="dxa"/>
              <w:end w:w="100" w:type="dxa"/>
            </w:tcMar>
            <w:vAlign w:val="top"/>
          </w:tcPr>
          <w:p>
            <w:pPr>
              <w:spacing w:after="0" w:line="240" w:lineRule="auto"/>
            </w:pPr>
            <w:r>
              <w:rPr>
                <w:b/>
                <w:color w:val="2D3436"/>
                <w:sz w:val="15"/>
              </w:rPr>
              <w:t>Healthcare</w:t>
            </w:r>
          </w:p>
        </w:tc>
        <w:tc>
          <w:tcPr>
            <w:tcW w:type="dxa" w:w="5256"/>
            <w:shd w:fill="F3F4F4"/>
            <w:tcMar>
              <w:top w:w="42" w:type="dxa"/>
              <w:start w:w="100" w:type="dxa"/>
              <w:bottom w:w="42" w:type="dxa"/>
              <w:end w:w="100" w:type="dxa"/>
            </w:tcMar>
            <w:vAlign w:val="top"/>
          </w:tcPr>
          <w:p>
            <w:pPr>
              <w:spacing w:after="0" w:line="240" w:lineRule="auto"/>
            </w:pPr>
            <w:r>
              <w:rPr>
                <w:sz w:val="15"/>
              </w:rPr>
              <w:t>Can local facilities and support systems improve access under provincial funding, law and clinical oversight?</w:t>
            </w:r>
          </w:p>
        </w:tc>
        <w:tc>
          <w:tcPr>
            <w:tcW w:type="dxa" w:w="3168"/>
            <w:shd w:fill="F3F4F4"/>
            <w:tcMar>
              <w:top w:w="42" w:type="dxa"/>
              <w:start w:w="100" w:type="dxa"/>
              <w:bottom w:w="42" w:type="dxa"/>
              <w:end w:w="100" w:type="dxa"/>
            </w:tcMar>
            <w:vAlign w:val="top"/>
          </w:tcPr>
          <w:p>
            <w:pPr>
              <w:spacing w:after="0" w:line="240" w:lineRule="auto"/>
            </w:pPr>
            <w:r>
              <w:rPr>
                <w:sz w:val="15"/>
              </w:rPr>
              <w:t>Attachment; wait; continuity; avoidable use; workforce retention; quality and safety</w:t>
            </w:r>
          </w:p>
        </w:tc>
      </w:tr>
      <w:tr>
        <w:trPr>
          <w:cantSplit w:val="true"/>
          <w:trHeight w:hRule="atLeast"/>
        </w:trPr>
        <w:tc>
          <w:tcPr>
            <w:tcW w:type="dxa" w:w="2016"/>
            <w:shd w:fill="FFFFFF"/>
            <w:tcMar>
              <w:top w:w="42" w:type="dxa"/>
              <w:start w:w="100" w:type="dxa"/>
              <w:bottom w:w="42" w:type="dxa"/>
              <w:end w:w="100" w:type="dxa"/>
            </w:tcMar>
            <w:vAlign w:val="top"/>
          </w:tcPr>
          <w:p>
            <w:pPr>
              <w:spacing w:after="0" w:line="240" w:lineRule="auto"/>
            </w:pPr>
            <w:r>
              <w:rPr>
                <w:b/>
                <w:color w:val="2D3436"/>
                <w:sz w:val="15"/>
              </w:rPr>
              <w:t>Transportation</w:t>
            </w:r>
          </w:p>
        </w:tc>
        <w:tc>
          <w:tcPr>
            <w:tcW w:type="dxa" w:w="5256"/>
            <w:shd w:fill="FFFFFF"/>
            <w:tcMar>
              <w:top w:w="42" w:type="dxa"/>
              <w:start w:w="100" w:type="dxa"/>
              <w:bottom w:w="42" w:type="dxa"/>
              <w:end w:w="100" w:type="dxa"/>
            </w:tcMar>
            <w:vAlign w:val="top"/>
          </w:tcPr>
          <w:p>
            <w:pPr>
              <w:spacing w:after="0" w:line="240" w:lineRule="auto"/>
            </w:pPr>
            <w:r>
              <w:rPr>
                <w:sz w:val="15"/>
              </w:rPr>
              <w:t>Can residents reliably reach homes, work, food, healthcare and training?</w:t>
            </w:r>
          </w:p>
        </w:tc>
        <w:tc>
          <w:tcPr>
            <w:tcW w:type="dxa" w:w="3168"/>
            <w:shd w:fill="FFFFFF"/>
            <w:tcMar>
              <w:top w:w="42" w:type="dxa"/>
              <w:start w:w="100" w:type="dxa"/>
              <w:bottom w:w="42" w:type="dxa"/>
              <w:end w:w="100" w:type="dxa"/>
            </w:tcMar>
            <w:vAlign w:val="top"/>
          </w:tcPr>
          <w:p>
            <w:pPr>
              <w:spacing w:after="0" w:line="240" w:lineRule="auto"/>
            </w:pPr>
            <w:r>
              <w:rPr>
                <w:sz w:val="15"/>
              </w:rPr>
              <w:t>Coverage; trip fulfilment; wait and travel time; cost per trip; accessibility; safety</w:t>
            </w:r>
          </w:p>
        </w:tc>
      </w:tr>
      <w:tr>
        <w:trPr>
          <w:cantSplit w:val="true"/>
          <w:trHeight w:hRule="atLeast"/>
        </w:trPr>
        <w:tc>
          <w:tcPr>
            <w:tcW w:type="dxa" w:w="2016"/>
            <w:shd w:fill="F3F4F4"/>
            <w:tcMar>
              <w:top w:w="42" w:type="dxa"/>
              <w:start w:w="100" w:type="dxa"/>
              <w:bottom w:w="42" w:type="dxa"/>
              <w:end w:w="100" w:type="dxa"/>
            </w:tcMar>
            <w:vAlign w:val="top"/>
          </w:tcPr>
          <w:p>
            <w:pPr>
              <w:spacing w:after="0" w:line="240" w:lineRule="auto"/>
            </w:pPr>
            <w:r>
              <w:rPr>
                <w:b/>
                <w:color w:val="2D3436"/>
                <w:sz w:val="15"/>
              </w:rPr>
              <w:t>Workforce &amp; Skills</w:t>
            </w:r>
          </w:p>
        </w:tc>
        <w:tc>
          <w:tcPr>
            <w:tcW w:type="dxa" w:w="5256"/>
            <w:shd w:fill="F3F4F4"/>
            <w:tcMar>
              <w:top w:w="42" w:type="dxa"/>
              <w:start w:w="100" w:type="dxa"/>
              <w:bottom w:w="42" w:type="dxa"/>
              <w:end w:w="100" w:type="dxa"/>
            </w:tcMar>
            <w:vAlign w:val="top"/>
          </w:tcPr>
          <w:p>
            <w:pPr>
              <w:spacing w:after="0" w:line="240" w:lineRule="auto"/>
            </w:pPr>
            <w:r>
              <w:rPr>
                <w:sz w:val="15"/>
              </w:rPr>
              <w:t>Can funded demand be translated into qualifications, employment and local retention?</w:t>
            </w:r>
          </w:p>
        </w:tc>
        <w:tc>
          <w:tcPr>
            <w:tcW w:type="dxa" w:w="3168"/>
            <w:shd w:fill="F3F4F4"/>
            <w:tcMar>
              <w:top w:w="42" w:type="dxa"/>
              <w:start w:w="100" w:type="dxa"/>
              <w:bottom w:w="42" w:type="dxa"/>
              <w:end w:w="100" w:type="dxa"/>
            </w:tcMar>
            <w:vAlign w:val="top"/>
          </w:tcPr>
          <w:p>
            <w:pPr>
              <w:spacing w:after="0" w:line="240" w:lineRule="auto"/>
            </w:pPr>
            <w:r>
              <w:rPr>
                <w:sz w:val="15"/>
              </w:rPr>
              <w:t>Completion; certification; placement; wages; 12- and 24-month retention</w:t>
            </w:r>
          </w:p>
        </w:tc>
      </w:tr>
      <w:tr>
        <w:trPr>
          <w:cantSplit w:val="true"/>
          <w:trHeight w:hRule="atLeast"/>
        </w:trPr>
        <w:tc>
          <w:tcPr>
            <w:tcW w:type="dxa" w:w="2016"/>
            <w:shd w:fill="FFFFFF"/>
            <w:tcMar>
              <w:top w:w="42" w:type="dxa"/>
              <w:start w:w="100" w:type="dxa"/>
              <w:bottom w:w="42" w:type="dxa"/>
              <w:end w:w="100" w:type="dxa"/>
            </w:tcMar>
            <w:vAlign w:val="top"/>
          </w:tcPr>
          <w:p>
            <w:pPr>
              <w:spacing w:after="0" w:line="240" w:lineRule="auto"/>
            </w:pPr>
            <w:r>
              <w:rPr>
                <w:b/>
                <w:color w:val="2D3436"/>
                <w:sz w:val="15"/>
              </w:rPr>
              <w:t>Resource Development</w:t>
            </w:r>
          </w:p>
        </w:tc>
        <w:tc>
          <w:tcPr>
            <w:tcW w:type="dxa" w:w="5256"/>
            <w:shd w:fill="FFFFFF"/>
            <w:tcMar>
              <w:top w:w="42" w:type="dxa"/>
              <w:start w:w="100" w:type="dxa"/>
              <w:bottom w:w="42" w:type="dxa"/>
              <w:end w:w="100" w:type="dxa"/>
            </w:tcMar>
            <w:vAlign w:val="top"/>
          </w:tcPr>
          <w:p>
            <w:pPr>
              <w:spacing w:after="0" w:line="240" w:lineRule="auto"/>
            </w:pPr>
            <w:r>
              <w:rPr>
                <w:sz w:val="15"/>
              </w:rPr>
              <w:t>Can place-bound resources and water systems be governed for safety, lifecycle value and lawful local benefit?</w:t>
            </w:r>
          </w:p>
        </w:tc>
        <w:tc>
          <w:tcPr>
            <w:tcW w:type="dxa" w:w="3168"/>
            <w:shd w:fill="FFFFFF"/>
            <w:tcMar>
              <w:top w:w="42" w:type="dxa"/>
              <w:start w:w="100" w:type="dxa"/>
              <w:bottom w:w="42" w:type="dxa"/>
              <w:end w:w="100" w:type="dxa"/>
            </w:tcMar>
            <w:vAlign w:val="top"/>
          </w:tcPr>
          <w:p>
            <w:pPr>
              <w:spacing w:after="0" w:line="240" w:lineRule="auto"/>
            </w:pPr>
            <w:r>
              <w:rPr>
                <w:sz w:val="15"/>
              </w:rPr>
              <w:t>Water compliance; asset condition; local return; environmental liability; rights-holder agreements</w:t>
            </w:r>
          </w:p>
        </w:tc>
      </w:tr>
      <w:tr>
        <w:trPr>
          <w:cantSplit w:val="true"/>
          <w:trHeight w:hRule="atLeast"/>
        </w:trPr>
        <w:tc>
          <w:tcPr>
            <w:tcW w:type="dxa" w:w="2016"/>
            <w:shd w:fill="F3F4F4"/>
            <w:tcMar>
              <w:top w:w="42" w:type="dxa"/>
              <w:start w:w="100" w:type="dxa"/>
              <w:bottom w:w="42" w:type="dxa"/>
              <w:end w:w="100" w:type="dxa"/>
            </w:tcMar>
            <w:vAlign w:val="top"/>
          </w:tcPr>
          <w:p>
            <w:pPr>
              <w:spacing w:after="0" w:line="240" w:lineRule="auto"/>
            </w:pPr>
            <w:r>
              <w:rPr>
                <w:b/>
                <w:color w:val="2D3436"/>
                <w:sz w:val="15"/>
              </w:rPr>
              <w:t>Energy</w:t>
            </w:r>
          </w:p>
        </w:tc>
        <w:tc>
          <w:tcPr>
            <w:tcW w:type="dxa" w:w="5256"/>
            <w:shd w:fill="F3F4F4"/>
            <w:tcMar>
              <w:top w:w="42" w:type="dxa"/>
              <w:start w:w="100" w:type="dxa"/>
              <w:bottom w:w="42" w:type="dxa"/>
              <w:end w:w="100" w:type="dxa"/>
            </w:tcMar>
            <w:vAlign w:val="top"/>
          </w:tcPr>
          <w:p>
            <w:pPr>
              <w:spacing w:after="0" w:line="240" w:lineRule="auto"/>
            </w:pPr>
            <w:r>
              <w:rPr>
                <w:sz w:val="15"/>
              </w:rPr>
              <w:t>Can efficiency, procurement, generation and storage reduce total cost or outage exposure on a lifecycle basis?</w:t>
            </w:r>
          </w:p>
        </w:tc>
        <w:tc>
          <w:tcPr>
            <w:tcW w:type="dxa" w:w="3168"/>
            <w:shd w:fill="F3F4F4"/>
            <w:tcMar>
              <w:top w:w="42" w:type="dxa"/>
              <w:start w:w="100" w:type="dxa"/>
              <w:bottom w:w="42" w:type="dxa"/>
              <w:end w:w="100" w:type="dxa"/>
            </w:tcMar>
            <w:vAlign w:val="top"/>
          </w:tcPr>
          <w:p>
            <w:pPr>
              <w:spacing w:after="0" w:line="240" w:lineRule="auto"/>
            </w:pPr>
            <w:r>
              <w:rPr>
                <w:sz w:val="15"/>
              </w:rPr>
              <w:t>Total cost; energy burden; reliability; peak reduction; debt coverage; emissions</w:t>
            </w:r>
          </w:p>
        </w:tc>
      </w:tr>
      <w:tr>
        <w:trPr>
          <w:cantSplit w:val="true"/>
          <w:trHeight w:hRule="atLeast"/>
        </w:trPr>
        <w:tc>
          <w:tcPr>
            <w:tcW w:type="dxa" w:w="2016"/>
            <w:shd w:fill="FFFFFF"/>
            <w:tcMar>
              <w:top w:w="42" w:type="dxa"/>
              <w:start w:w="100" w:type="dxa"/>
              <w:bottom w:w="42" w:type="dxa"/>
              <w:end w:w="100" w:type="dxa"/>
            </w:tcMar>
            <w:vAlign w:val="top"/>
          </w:tcPr>
          <w:p>
            <w:pPr>
              <w:spacing w:after="0" w:line="240" w:lineRule="auto"/>
            </w:pPr>
            <w:r>
              <w:rPr>
                <w:b/>
                <w:color w:val="2D3436"/>
                <w:sz w:val="15"/>
              </w:rPr>
              <w:t>Digital &amp; Communications</w:t>
            </w:r>
          </w:p>
        </w:tc>
        <w:tc>
          <w:tcPr>
            <w:tcW w:type="dxa" w:w="5256"/>
            <w:shd w:fill="FFFFFF"/>
            <w:tcMar>
              <w:top w:w="42" w:type="dxa"/>
              <w:start w:w="100" w:type="dxa"/>
              <w:bottom w:w="42" w:type="dxa"/>
              <w:end w:w="100" w:type="dxa"/>
            </w:tcMar>
            <w:vAlign w:val="top"/>
          </w:tcPr>
          <w:p>
            <w:pPr>
              <w:spacing w:after="0" w:line="240" w:lineRule="auto"/>
            </w:pPr>
            <w:r>
              <w:rPr>
                <w:sz w:val="15"/>
              </w:rPr>
              <w:t>Can every location obtain reliable, affordable connectivity through the least-risk infrastructure and operating model?</w:t>
            </w:r>
          </w:p>
        </w:tc>
        <w:tc>
          <w:tcPr>
            <w:tcW w:type="dxa" w:w="3168"/>
            <w:shd w:fill="FFFFFF"/>
            <w:tcMar>
              <w:top w:w="42" w:type="dxa"/>
              <w:start w:w="100" w:type="dxa"/>
              <w:bottom w:w="42" w:type="dxa"/>
              <w:end w:w="100" w:type="dxa"/>
            </w:tcMar>
            <w:vAlign w:val="top"/>
          </w:tcPr>
          <w:p>
            <w:pPr>
              <w:spacing w:after="0" w:line="240" w:lineRule="auto"/>
            </w:pPr>
            <w:r>
              <w:rPr>
                <w:sz w:val="15"/>
              </w:rPr>
              <w:t>Actual service; uptime; price; adoption; take-rate; debt coverage; cyber performance</w:t>
            </w:r>
          </w:p>
        </w:tc>
      </w:tr>
    </w:tbl>
    <w:p>
      <w:pPr>
        <w:spacing w:after="0" w:line="40" w:lineRule="exact"/>
      </w:pPr>
      <w:r>
        <w:rPr>
          <w:sz w:val="2"/>
        </w:rPr>
        <w:t xml:space="preserve"> </w:t>
      </w:r>
    </w:p>
    <w:p>
      <w:pPr>
        <w:pStyle w:val="Heading1"/>
        <w:keepNext w:val="1"/>
        <w:keepLines w:val="1"/>
      </w:pPr>
      <w:r>
        <w:t>Why the fields must be connected</w:t>
      </w:r>
    </w:p>
    <w:p>
      <w:pPr>
        <w:pStyle w:val="BodyText"/>
      </w:pPr>
      <w:r>
        <w:t>The model fails if each field is treated as a silo. Housing construction requires trained labour, serviced land, electricity, communications and transportation. A grocery operation depends on energy for refrigeration, transportation and fuel for logistics, digital systems for inventory and ordering, and local producers whose water and resource conditions are secure. Healthcare access depends on housing for workers and patients, transportation to facilities, resilient energy, secure communications and a workforce pipeline. These are operating dependencies, not rhetorical links; they must appear in project schedules, capital plans and shared data.</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088"/>
            <w:shd w:fill="244C5A"/>
            <w:tcMar>
              <w:top w:w="58" w:type="dxa"/>
              <w:start w:w="100" w:type="dxa"/>
              <w:bottom w:w="58" w:type="dxa"/>
              <w:end w:w="100" w:type="dxa"/>
            </w:tcMar>
            <w:vAlign w:val="center"/>
          </w:tcPr>
          <w:p>
            <w:pPr>
              <w:spacing w:after="0"/>
              <w:keepNext w:val="1"/>
            </w:pPr>
            <w:r>
              <w:rPr>
                <w:b/>
                <w:color w:val="FFFFFF"/>
                <w:sz w:val="16"/>
              </w:rPr>
              <w:t>Shared dependency</w:t>
            </w:r>
          </w:p>
        </w:tc>
        <w:tc>
          <w:tcPr>
            <w:tcW w:type="dxa" w:w="8352"/>
            <w:shd w:fill="244C5A"/>
            <w:tcMar>
              <w:top w:w="58" w:type="dxa"/>
              <w:start w:w="100" w:type="dxa"/>
              <w:bottom w:w="58" w:type="dxa"/>
              <w:end w:w="100" w:type="dxa"/>
            </w:tcMar>
            <w:vAlign w:val="center"/>
          </w:tcPr>
          <w:p>
            <w:pPr>
              <w:spacing w:after="0"/>
              <w:keepNext w:val="1"/>
            </w:pPr>
            <w:r>
              <w:rPr>
                <w:b/>
                <w:color w:val="FFFFFF"/>
                <w:sz w:val="16"/>
              </w:rPr>
              <w:t>How to manage it</w:t>
            </w:r>
          </w:p>
        </w:tc>
      </w:tr>
      <w:tr>
        <w:trPr>
          <w:cantSplit w:val="true"/>
          <w:trHeight w:hRule="atLeast"/>
        </w:trPr>
        <w:tc>
          <w:tcPr>
            <w:tcW w:type="dxa" w:w="2088"/>
            <w:shd w:fill="FFFFFF"/>
            <w:tcMar>
              <w:top w:w="42" w:type="dxa"/>
              <w:start w:w="100" w:type="dxa"/>
              <w:bottom w:w="42" w:type="dxa"/>
              <w:end w:w="100" w:type="dxa"/>
            </w:tcMar>
            <w:vAlign w:val="top"/>
          </w:tcPr>
          <w:p>
            <w:pPr>
              <w:spacing w:after="0" w:line="240" w:lineRule="auto"/>
              <w:keepNext w:val="1"/>
            </w:pPr>
            <w:r>
              <w:rPr>
                <w:b/>
                <w:color w:val="2D3436"/>
                <w:sz w:val="15"/>
              </w:rPr>
              <w:t>Demand</w:t>
            </w:r>
          </w:p>
        </w:tc>
        <w:tc>
          <w:tcPr>
            <w:tcW w:type="dxa" w:w="8352"/>
            <w:shd w:fill="FFFFFF"/>
            <w:tcMar>
              <w:top w:w="42" w:type="dxa"/>
              <w:start w:w="100" w:type="dxa"/>
              <w:bottom w:w="42" w:type="dxa"/>
              <w:end w:w="100" w:type="dxa"/>
            </w:tcMar>
            <w:vAlign w:val="top"/>
          </w:tcPr>
          <w:p>
            <w:pPr>
              <w:spacing w:after="0" w:line="240" w:lineRule="auto"/>
              <w:keepNext w:val="1"/>
            </w:pPr>
            <w:r>
              <w:rPr>
                <w:sz w:val="15"/>
              </w:rPr>
              <w:t>Use one population, household, employment and growth baseline across all nine business cases.</w:t>
            </w:r>
          </w:p>
        </w:tc>
      </w:tr>
      <w:tr>
        <w:trPr>
          <w:cantSplit w:val="true"/>
          <w:trHeight w:hRule="atLeast"/>
        </w:trPr>
        <w:tc>
          <w:tcPr>
            <w:tcW w:type="dxa" w:w="2088"/>
            <w:shd w:fill="F3F4F4"/>
            <w:tcMar>
              <w:top w:w="42" w:type="dxa"/>
              <w:start w:w="100" w:type="dxa"/>
              <w:bottom w:w="42" w:type="dxa"/>
              <w:end w:w="100" w:type="dxa"/>
            </w:tcMar>
            <w:vAlign w:val="top"/>
          </w:tcPr>
          <w:p>
            <w:pPr>
              <w:spacing w:after="0" w:line="240" w:lineRule="auto"/>
              <w:keepNext w:val="1"/>
            </w:pPr>
            <w:r>
              <w:rPr>
                <w:b/>
                <w:color w:val="2D3436"/>
                <w:sz w:val="15"/>
              </w:rPr>
              <w:t>Capital</w:t>
            </w:r>
          </w:p>
        </w:tc>
        <w:tc>
          <w:tcPr>
            <w:tcW w:type="dxa" w:w="8352"/>
            <w:shd w:fill="F3F4F4"/>
            <w:tcMar>
              <w:top w:w="42" w:type="dxa"/>
              <w:start w:w="100" w:type="dxa"/>
              <w:bottom w:w="42" w:type="dxa"/>
              <w:end w:w="100" w:type="dxa"/>
            </w:tcMar>
            <w:vAlign w:val="top"/>
          </w:tcPr>
          <w:p>
            <w:pPr>
              <w:spacing w:after="0" w:line="240" w:lineRule="auto"/>
              <w:keepNext w:val="1"/>
            </w:pPr>
            <w:r>
              <w:rPr>
                <w:sz w:val="15"/>
              </w:rPr>
              <w:t>Maintain a consolidated debt, grant, reserve and contingent-liability view; do not approve projects as if each has unlimited municipal borrowing room.</w:t>
            </w:r>
          </w:p>
        </w:tc>
      </w:tr>
      <w:tr>
        <w:trPr>
          <w:cantSplit w:val="true"/>
          <w:trHeight w:hRule="atLeast"/>
        </w:trPr>
        <w:tc>
          <w:tcPr>
            <w:tcW w:type="dxa" w:w="2088"/>
            <w:shd w:fill="FFFFFF"/>
            <w:tcMar>
              <w:top w:w="42" w:type="dxa"/>
              <w:start w:w="100" w:type="dxa"/>
              <w:bottom w:w="42" w:type="dxa"/>
              <w:end w:w="100" w:type="dxa"/>
            </w:tcMar>
            <w:vAlign w:val="top"/>
          </w:tcPr>
          <w:p>
            <w:pPr>
              <w:spacing w:after="0" w:line="240" w:lineRule="auto"/>
              <w:keepNext w:val="1"/>
            </w:pPr>
            <w:r>
              <w:rPr>
                <w:b/>
                <w:color w:val="2D3436"/>
                <w:sz w:val="15"/>
              </w:rPr>
              <w:t>Workforce</w:t>
            </w:r>
          </w:p>
        </w:tc>
        <w:tc>
          <w:tcPr>
            <w:tcW w:type="dxa" w:w="8352"/>
            <w:shd w:fill="FFFFFF"/>
            <w:tcMar>
              <w:top w:w="42" w:type="dxa"/>
              <w:start w:w="100" w:type="dxa"/>
              <w:bottom w:w="42" w:type="dxa"/>
              <w:end w:w="100" w:type="dxa"/>
            </w:tcMar>
            <w:vAlign w:val="top"/>
          </w:tcPr>
          <w:p>
            <w:pPr>
              <w:spacing w:after="0" w:line="240" w:lineRule="auto"/>
              <w:keepNext w:val="1"/>
            </w:pPr>
            <w:r>
              <w:rPr>
                <w:sz w:val="15"/>
              </w:rPr>
              <w:t>Feed every approved project’s occupation, timing and qualification needs into the Workforce &amp; Skills plan.</w:t>
            </w:r>
          </w:p>
        </w:tc>
      </w:tr>
      <w:tr>
        <w:trPr>
          <w:cantSplit w:val="true"/>
          <w:trHeight w:hRule="atLeast"/>
        </w:trPr>
        <w:tc>
          <w:tcPr>
            <w:tcW w:type="dxa" w:w="2088"/>
            <w:shd w:fill="F3F4F4"/>
            <w:tcMar>
              <w:top w:w="42" w:type="dxa"/>
              <w:start w:w="100" w:type="dxa"/>
              <w:bottom w:w="42" w:type="dxa"/>
              <w:end w:w="100" w:type="dxa"/>
            </w:tcMar>
            <w:vAlign w:val="top"/>
          </w:tcPr>
          <w:p>
            <w:pPr>
              <w:spacing w:after="0" w:line="240" w:lineRule="auto"/>
              <w:keepNext w:val="1"/>
            </w:pPr>
            <w:r>
              <w:rPr>
                <w:b/>
                <w:color w:val="2D3436"/>
                <w:sz w:val="15"/>
              </w:rPr>
              <w:t>Land and corridors</w:t>
            </w:r>
          </w:p>
        </w:tc>
        <w:tc>
          <w:tcPr>
            <w:tcW w:type="dxa" w:w="8352"/>
            <w:shd w:fill="F3F4F4"/>
            <w:tcMar>
              <w:top w:w="42" w:type="dxa"/>
              <w:start w:w="100" w:type="dxa"/>
              <w:bottom w:w="42" w:type="dxa"/>
              <w:end w:w="100" w:type="dxa"/>
            </w:tcMar>
            <w:vAlign w:val="top"/>
          </w:tcPr>
          <w:p>
            <w:pPr>
              <w:spacing w:after="0" w:line="240" w:lineRule="auto"/>
              <w:keepNext w:val="1"/>
            </w:pPr>
            <w:r>
              <w:rPr>
                <w:sz w:val="15"/>
              </w:rPr>
              <w:t>Coordinate sites, rights-of-way, utility corridors, transit access, water capacity and broadband conduit before construction.</w:t>
            </w:r>
          </w:p>
        </w:tc>
      </w:tr>
      <w:tr>
        <w:trPr>
          <w:cantSplit w:val="true"/>
          <w:trHeight w:hRule="atLeast"/>
        </w:trPr>
        <w:tc>
          <w:tcPr>
            <w:tcW w:type="dxa" w:w="2088"/>
            <w:shd w:fill="FFFFFF"/>
            <w:tcMar>
              <w:top w:w="42" w:type="dxa"/>
              <w:start w:w="100" w:type="dxa"/>
              <w:bottom w:w="42" w:type="dxa"/>
              <w:end w:w="100" w:type="dxa"/>
            </w:tcMar>
            <w:vAlign w:val="top"/>
          </w:tcPr>
          <w:p>
            <w:pPr>
              <w:spacing w:after="0" w:line="240" w:lineRule="auto"/>
              <w:keepNext w:val="1"/>
            </w:pPr>
            <w:r>
              <w:rPr>
                <w:b/>
                <w:color w:val="2D3436"/>
                <w:sz w:val="15"/>
              </w:rPr>
              <w:t>Resilience</w:t>
            </w:r>
          </w:p>
        </w:tc>
        <w:tc>
          <w:tcPr>
            <w:tcW w:type="dxa" w:w="8352"/>
            <w:shd w:fill="FFFFFF"/>
            <w:tcMar>
              <w:top w:w="42" w:type="dxa"/>
              <w:start w:w="100" w:type="dxa"/>
              <w:bottom w:w="42" w:type="dxa"/>
              <w:end w:w="100" w:type="dxa"/>
            </w:tcMar>
            <w:vAlign w:val="top"/>
          </w:tcPr>
          <w:p>
            <w:pPr>
              <w:spacing w:after="0" w:line="240" w:lineRule="auto"/>
              <w:keepNext w:val="1"/>
            </w:pPr>
            <w:r>
              <w:rPr>
                <w:sz w:val="15"/>
              </w:rPr>
              <w:t>Define critical loads, backup duration, communications and supply-chain requirements across facilities.</w:t>
            </w:r>
          </w:p>
        </w:tc>
      </w:tr>
      <w:tr>
        <w:trPr>
          <w:cantSplit w:val="true"/>
          <w:trHeight w:hRule="atLeast"/>
        </w:trPr>
        <w:tc>
          <w:tcPr>
            <w:tcW w:type="dxa" w:w="2088"/>
            <w:shd w:fill="F3F4F4"/>
            <w:tcMar>
              <w:top w:w="42" w:type="dxa"/>
              <w:start w:w="100" w:type="dxa"/>
              <w:bottom w:w="42" w:type="dxa"/>
              <w:end w:w="100" w:type="dxa"/>
            </w:tcMar>
            <w:vAlign w:val="top"/>
          </w:tcPr>
          <w:p>
            <w:pPr>
              <w:spacing w:after="0" w:line="240" w:lineRule="auto"/>
            </w:pPr>
            <w:r>
              <w:rPr>
                <w:b/>
                <w:color w:val="2D3436"/>
                <w:sz w:val="15"/>
              </w:rPr>
              <w:t>Data</w:t>
            </w:r>
          </w:p>
        </w:tc>
        <w:tc>
          <w:tcPr>
            <w:tcW w:type="dxa" w:w="8352"/>
            <w:shd w:fill="F3F4F4"/>
            <w:tcMar>
              <w:top w:w="42" w:type="dxa"/>
              <w:start w:w="100" w:type="dxa"/>
              <w:bottom w:w="42" w:type="dxa"/>
              <w:end w:w="100" w:type="dxa"/>
            </w:tcMar>
            <w:vAlign w:val="top"/>
          </w:tcPr>
          <w:p>
            <w:pPr>
              <w:spacing w:after="0" w:line="240" w:lineRule="auto"/>
            </w:pPr>
            <w:r>
              <w:rPr>
                <w:sz w:val="15"/>
              </w:rPr>
              <w:t>Use common geographies, household definitions, equity groups, baseline years and reporting dates so outcomes can be compared.</w:t>
            </w:r>
          </w:p>
        </w:tc>
      </w:tr>
    </w:tbl>
    <w:p>
      <w:pPr>
        <w:spacing w:after="0" w:line="40" w:lineRule="exact"/>
      </w:pPr>
      <w:r>
        <w:rPr>
          <w:sz w:val="2"/>
        </w:rPr>
        <w:t xml:space="preserve"> </w:t>
      </w:r>
    </w:p>
    <w:p>
      <w:pPr>
        <w:pStyle w:val="Heading1"/>
        <w:keepNext w:val="1"/>
        <w:keepLines w:val="1"/>
      </w:pPr>
      <w:r>
        <w:t>How a municipality chooses where to begin</w:t>
      </w:r>
    </w:p>
    <w:p>
      <w:pPr>
        <w:pStyle w:val="BodyText"/>
      </w:pPr>
      <w:r>
        <w:t>CDMM does not require nine simultaneous enterprises. The first portfolio should be selected by constraint analysis: identify the outcome the community cannot achieve, trace the binding causes, locate the municipal lever, test jurisdiction and market conditions, and compare options on lifecycle cost and risk. A project proceeds only when the municipality can name an accountable operator, funding source, baseline, target, decision rule and exit path.</w:t>
      </w:r>
    </w:p>
    <w:p>
      <w:pPr>
        <w:pStyle w:val="BodyText"/>
        <w:ind w:left="432" w:hanging="317"/>
        <w:keepLines w:val="1"/>
      </w:pPr>
      <w:r>
        <w:rPr>
          <w:b/>
        </w:rPr>
        <w:t xml:space="preserve">1.  </w:t>
      </w:r>
      <w:r>
        <w:t>Diagnose the local problem with a defined population, geography and baseline year.</w:t>
      </w:r>
    </w:p>
    <w:p>
      <w:pPr>
        <w:pStyle w:val="BodyText"/>
        <w:ind w:left="432" w:hanging="317"/>
        <w:keepLines w:val="1"/>
      </w:pPr>
      <w:r>
        <w:rPr>
          <w:b/>
        </w:rPr>
        <w:t xml:space="preserve">2.  </w:t>
      </w:r>
      <w:r>
        <w:t>Test whether the barrier is authority, capital, coordination, operating capability, market structure or another cause.</w:t>
      </w:r>
    </w:p>
    <w:p>
      <w:pPr>
        <w:pStyle w:val="BodyText"/>
        <w:ind w:left="432" w:hanging="317"/>
        <w:keepLines w:val="1"/>
      </w:pPr>
      <w:r>
        <w:rPr>
          <w:b/>
        </w:rPr>
        <w:t xml:space="preserve">3.  </w:t>
      </w:r>
      <w:r>
        <w:t>Compare municipal ownership with procurement, regulation, partnership and no-build options.</w:t>
      </w:r>
    </w:p>
    <w:p>
      <w:pPr>
        <w:pStyle w:val="BodyText"/>
        <w:ind w:left="432" w:hanging="317"/>
        <w:keepLines w:val="1"/>
      </w:pPr>
      <w:r>
        <w:rPr>
          <w:b/>
        </w:rPr>
        <w:t xml:space="preserve">4.  </w:t>
      </w:r>
      <w:r>
        <w:t>Model full lifecycle cost, demand sensitivity, public value, legal conditions and contingent liability.</w:t>
      </w:r>
    </w:p>
    <w:p>
      <w:pPr>
        <w:pStyle w:val="BodyText"/>
        <w:ind w:left="432" w:hanging="317"/>
        <w:keepLines w:val="1"/>
      </w:pPr>
      <w:r>
        <w:rPr>
          <w:b/>
        </w:rPr>
        <w:t xml:space="preserve">5.  </w:t>
      </w:r>
      <w:r>
        <w:t>Pilot the smallest design that can answer the central uncertainty.</w:t>
      </w:r>
    </w:p>
    <w:p>
      <w:pPr>
        <w:pStyle w:val="BodyText"/>
        <w:ind w:left="432" w:hanging="317"/>
        <w:keepLines w:val="1"/>
      </w:pPr>
      <w:r>
        <w:rPr>
          <w:b/>
        </w:rPr>
        <w:t xml:space="preserve">6.  </w:t>
      </w:r>
      <w:r>
        <w:t>Publish results against pre-agreed proceed, redesign, scale and stop thresholds.</w:t>
      </w:r>
    </w:p>
    <w:p>
      <w:pPr>
        <w:pStyle w:val="Heading1"/>
        <w:keepNext w:val="1"/>
        <w:keepLines w:val="1"/>
      </w:pPr>
      <w:r>
        <w:t>Evidence statement</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Canadian municipalities already exercise delegated powers, own assets, procure services and operate utilities or corporations in many of these fields. The constitutional and statutory allocation of powers is established.</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The binding constraint, demand, cost structure, service gap, partner capacity and authority must be confirmed for each municipality and province.</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The proposition that an integrated nine-field portfolio can improve outcomes, diversify municipal revenue or reduce fiscal exposure is a CDMM hypothesis to test—not a result already demonstrated by the framework.</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CDMM does not claim constitutional sovereignty, automatic self-sufficiency, guaranteed lower prices, elimination of provincial or federal duties, or simultaneous municipal operation of all nine fields.</w:t>
            </w:r>
          </w:p>
        </w:tc>
      </w:tr>
    </w:tbl>
    <w:p>
      <w:pPr>
        <w:spacing w:after="0" w:line="40" w:lineRule="exact"/>
      </w:pPr>
      <w:r>
        <w:rPr>
          <w:sz w:val="2"/>
        </w:rPr>
        <w:t xml:space="preserve"> </w:t>
      </w:r>
    </w:p>
    <w:p>
      <w:pPr>
        <w:pStyle w:val="Heading1"/>
        <w:keepNext w:val="1"/>
        <w:keepLines w:val="1"/>
      </w:pPr>
      <w:r>
        <w:t>Hub card copy</w:t>
      </w:r>
    </w:p>
    <w:tbl>
      <w:tblPr>
        <w:tblStyle w:val="TableGrid"/>
        <w:tblW w:type="auto" w:w="0"/>
        <w:tblLayout w:type="fixed"/>
        <w:tblLook w:firstColumn="1" w:firstRow="1" w:lastColumn="0" w:lastRow="0" w:noHBand="0" w:noVBand="1" w:val="04A0"/>
      </w:tblPr>
      <w:tblGrid>
        <w:gridCol w:w="3331"/>
        <w:gridCol w:w="3331"/>
        <w:gridCol w:w="3331"/>
      </w:tblGrid>
      <w:tr>
        <w:trPr>
          <w:trHeight w:hRule="atLeast"/>
          <w:tblHeader w:val="true"/>
          <w:cantSplit w:val="true"/>
        </w:trPr>
        <w:tc>
          <w:tcPr>
            <w:tcW w:type="dxa" w:w="2592"/>
            <w:shd w:fill="244C5A"/>
            <w:tcMar>
              <w:top w:w="58" w:type="dxa"/>
              <w:start w:w="100" w:type="dxa"/>
              <w:bottom w:w="58" w:type="dxa"/>
              <w:end w:w="100" w:type="dxa"/>
            </w:tcMar>
            <w:vAlign w:val="center"/>
          </w:tcPr>
          <w:p>
            <w:pPr>
              <w:spacing w:after="0"/>
            </w:pPr>
            <w:r>
              <w:rPr>
                <w:b/>
                <w:color w:val="FFFFFF"/>
                <w:sz w:val="16"/>
              </w:rPr>
              <w:t>Card</w:t>
            </w:r>
          </w:p>
        </w:tc>
        <w:tc>
          <w:tcPr>
            <w:tcW w:type="dxa" w:w="6408"/>
            <w:shd w:fill="244C5A"/>
            <w:tcMar>
              <w:top w:w="58" w:type="dxa"/>
              <w:start w:w="100" w:type="dxa"/>
              <w:bottom w:w="58" w:type="dxa"/>
              <w:end w:w="100" w:type="dxa"/>
            </w:tcMar>
            <w:vAlign w:val="center"/>
          </w:tcPr>
          <w:p>
            <w:pPr>
              <w:spacing w:after="0"/>
            </w:pPr>
            <w:r>
              <w:rPr>
                <w:b/>
                <w:color w:val="FFFFFF"/>
                <w:sz w:val="16"/>
              </w:rPr>
              <w:t>Short copy</w:t>
            </w:r>
          </w:p>
        </w:tc>
        <w:tc>
          <w:tcPr>
            <w:tcW w:type="dxa" w:w="1512"/>
            <w:shd w:fill="244C5A"/>
            <w:tcMar>
              <w:top w:w="58" w:type="dxa"/>
              <w:start w:w="100" w:type="dxa"/>
              <w:bottom w:w="58" w:type="dxa"/>
              <w:end w:w="100" w:type="dxa"/>
            </w:tcMar>
            <w:vAlign w:val="center"/>
          </w:tcPr>
          <w:p>
            <w:pPr>
              <w:spacing w:after="0"/>
            </w:pPr>
            <w:r>
              <w:rPr>
                <w:b/>
                <w:color w:val="FFFFFF"/>
                <w:sz w:val="16"/>
              </w:rPr>
              <w:t>Link</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pPr>
            <w:r>
              <w:rPr>
                <w:b/>
                <w:color w:val="2D3436"/>
                <w:sz w:val="15"/>
              </w:rPr>
              <w:t>Housing Autonomy</w:t>
            </w:r>
          </w:p>
        </w:tc>
        <w:tc>
          <w:tcPr>
            <w:tcW w:type="dxa" w:w="6408"/>
            <w:shd w:fill="FFFFFF"/>
            <w:tcMar>
              <w:top w:w="42" w:type="dxa"/>
              <w:start w:w="100" w:type="dxa"/>
              <w:bottom w:w="42" w:type="dxa"/>
              <w:end w:w="100" w:type="dxa"/>
            </w:tcMar>
            <w:vAlign w:val="top"/>
          </w:tcPr>
          <w:p>
            <w:pPr>
              <w:spacing w:after="0" w:line="240" w:lineRule="auto"/>
            </w:pPr>
            <w:r>
              <w:rPr>
                <w:sz w:val="15"/>
              </w:rPr>
              <w:t>Align land, approvals, delivery and tenure so permanent housing outcomes can be measured over time.</w:t>
            </w:r>
          </w:p>
        </w:tc>
        <w:tc>
          <w:tcPr>
            <w:tcW w:type="dxa" w:w="1512"/>
            <w:shd w:fill="FFFFFF"/>
            <w:tcMar>
              <w:top w:w="42" w:type="dxa"/>
              <w:start w:w="100" w:type="dxa"/>
              <w:bottom w:w="42" w:type="dxa"/>
              <w:end w:w="100" w:type="dxa"/>
            </w:tcMar>
            <w:vAlign w:val="top"/>
          </w:tcPr>
          <w:p>
            <w:pPr>
              <w:spacing w:after="0" w:line="240" w:lineRule="auto"/>
            </w:pPr>
            <w:r>
              <w:rPr>
                <w:sz w:val="15"/>
              </w:rPr>
              <w:t>/housing</w:t>
            </w:r>
          </w:p>
        </w:tc>
      </w:tr>
      <w:tr>
        <w:trPr>
          <w:cantSplit w:val="true"/>
          <w:trHeight w:hRule="atLeast"/>
        </w:trPr>
        <w:tc>
          <w:tcPr>
            <w:tcW w:type="dxa" w:w="2592"/>
            <w:shd w:fill="F3F4F4"/>
            <w:tcMar>
              <w:top w:w="42" w:type="dxa"/>
              <w:start w:w="100" w:type="dxa"/>
              <w:bottom w:w="42" w:type="dxa"/>
              <w:end w:w="100" w:type="dxa"/>
            </w:tcMar>
            <w:vAlign w:val="top"/>
          </w:tcPr>
          <w:p>
            <w:pPr>
              <w:spacing w:after="0" w:line="240" w:lineRule="auto"/>
            </w:pPr>
            <w:r>
              <w:rPr>
                <w:b/>
                <w:color w:val="2D3436"/>
                <w:sz w:val="15"/>
              </w:rPr>
              <w:t>Municipal Grocery Autonomy</w:t>
            </w:r>
          </w:p>
        </w:tc>
        <w:tc>
          <w:tcPr>
            <w:tcW w:type="dxa" w:w="6408"/>
            <w:shd w:fill="F3F4F4"/>
            <w:tcMar>
              <w:top w:w="42" w:type="dxa"/>
              <w:start w:w="100" w:type="dxa"/>
              <w:bottom w:w="42" w:type="dxa"/>
              <w:end w:w="100" w:type="dxa"/>
            </w:tcMar>
            <w:vAlign w:val="top"/>
          </w:tcPr>
          <w:p>
            <w:pPr>
              <w:spacing w:after="0" w:line="240" w:lineRule="auto"/>
            </w:pPr>
            <w:r>
              <w:rPr>
                <w:sz w:val="15"/>
              </w:rPr>
              <w:t>Test whether municipal procurement and distribution can improve food access with transparent prices and accounts.</w:t>
            </w:r>
          </w:p>
        </w:tc>
        <w:tc>
          <w:tcPr>
            <w:tcW w:type="dxa" w:w="1512"/>
            <w:shd w:fill="F3F4F4"/>
            <w:tcMar>
              <w:top w:w="42" w:type="dxa"/>
              <w:start w:w="100" w:type="dxa"/>
              <w:bottom w:w="42" w:type="dxa"/>
              <w:end w:w="100" w:type="dxa"/>
            </w:tcMar>
            <w:vAlign w:val="top"/>
          </w:tcPr>
          <w:p>
            <w:pPr>
              <w:spacing w:after="0" w:line="240" w:lineRule="auto"/>
            </w:pPr>
            <w:r>
              <w:rPr>
                <w:sz w:val="15"/>
              </w:rPr>
              <w:t>/municipal-grocery-autonomy</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pPr>
            <w:r>
              <w:rPr>
                <w:b/>
                <w:color w:val="2D3436"/>
                <w:sz w:val="15"/>
              </w:rPr>
              <w:t>Fuel Autonomy</w:t>
            </w:r>
          </w:p>
        </w:tc>
        <w:tc>
          <w:tcPr>
            <w:tcW w:type="dxa" w:w="6408"/>
            <w:shd w:fill="FFFFFF"/>
            <w:tcMar>
              <w:top w:w="42" w:type="dxa"/>
              <w:start w:w="100" w:type="dxa"/>
              <w:bottom w:w="42" w:type="dxa"/>
              <w:end w:w="100" w:type="dxa"/>
            </w:tcMar>
            <w:vAlign w:val="top"/>
          </w:tcPr>
          <w:p>
            <w:pPr>
              <w:spacing w:after="0" w:line="240" w:lineRule="auto"/>
            </w:pPr>
            <w:r>
              <w:rPr>
                <w:sz w:val="15"/>
              </w:rPr>
              <w:t>Assess whether aggregated demand can improve fuel reliability or landed cost under a safe, lawful model.</w:t>
            </w:r>
          </w:p>
        </w:tc>
        <w:tc>
          <w:tcPr>
            <w:tcW w:type="dxa" w:w="1512"/>
            <w:shd w:fill="FFFFFF"/>
            <w:tcMar>
              <w:top w:w="42" w:type="dxa"/>
              <w:start w:w="100" w:type="dxa"/>
              <w:bottom w:w="42" w:type="dxa"/>
              <w:end w:w="100" w:type="dxa"/>
            </w:tcMar>
            <w:vAlign w:val="top"/>
          </w:tcPr>
          <w:p>
            <w:pPr>
              <w:spacing w:after="0" w:line="240" w:lineRule="auto"/>
            </w:pPr>
            <w:r>
              <w:rPr>
                <w:sz w:val="15"/>
              </w:rPr>
              <w:t>/fuel-autonomy</w:t>
            </w:r>
          </w:p>
        </w:tc>
      </w:tr>
      <w:tr>
        <w:trPr>
          <w:cantSplit w:val="true"/>
          <w:trHeight w:hRule="atLeast"/>
        </w:trPr>
        <w:tc>
          <w:tcPr>
            <w:tcW w:type="dxa" w:w="2592"/>
            <w:shd w:fill="F3F4F4"/>
            <w:tcMar>
              <w:top w:w="42" w:type="dxa"/>
              <w:start w:w="100" w:type="dxa"/>
              <w:bottom w:w="42" w:type="dxa"/>
              <w:end w:w="100" w:type="dxa"/>
            </w:tcMar>
            <w:vAlign w:val="top"/>
          </w:tcPr>
          <w:p>
            <w:pPr>
              <w:spacing w:after="0" w:line="240" w:lineRule="auto"/>
            </w:pPr>
            <w:r>
              <w:rPr>
                <w:b/>
                <w:color w:val="2D3436"/>
                <w:sz w:val="15"/>
              </w:rPr>
              <w:t>Healthcare Autonomy</w:t>
            </w:r>
          </w:p>
        </w:tc>
        <w:tc>
          <w:tcPr>
            <w:tcW w:type="dxa" w:w="6408"/>
            <w:shd w:fill="F3F4F4"/>
            <w:tcMar>
              <w:top w:w="42" w:type="dxa"/>
              <w:start w:w="100" w:type="dxa"/>
              <w:bottom w:w="42" w:type="dxa"/>
              <w:end w:w="100" w:type="dxa"/>
            </w:tcMar>
            <w:vAlign w:val="top"/>
          </w:tcPr>
          <w:p>
            <w:pPr>
              <w:spacing w:after="0" w:line="240" w:lineRule="auto"/>
            </w:pPr>
            <w:r>
              <w:rPr>
                <w:sz w:val="15"/>
              </w:rPr>
              <w:t>Coordinate local facilities and access supports within provincial funding, law and clinical oversight.</w:t>
            </w:r>
          </w:p>
        </w:tc>
        <w:tc>
          <w:tcPr>
            <w:tcW w:type="dxa" w:w="1512"/>
            <w:shd w:fill="F3F4F4"/>
            <w:tcMar>
              <w:top w:w="42" w:type="dxa"/>
              <w:start w:w="100" w:type="dxa"/>
              <w:bottom w:w="42" w:type="dxa"/>
              <w:end w:w="100" w:type="dxa"/>
            </w:tcMar>
            <w:vAlign w:val="top"/>
          </w:tcPr>
          <w:p>
            <w:pPr>
              <w:spacing w:after="0" w:line="240" w:lineRule="auto"/>
            </w:pPr>
            <w:r>
              <w:rPr>
                <w:sz w:val="15"/>
              </w:rPr>
              <w:t>/healthcare-autonomy</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pPr>
            <w:r>
              <w:rPr>
                <w:b/>
                <w:color w:val="2D3436"/>
                <w:sz w:val="15"/>
              </w:rPr>
              <w:t>Transportation Autonomy</w:t>
            </w:r>
          </w:p>
        </w:tc>
        <w:tc>
          <w:tcPr>
            <w:tcW w:type="dxa" w:w="6408"/>
            <w:shd w:fill="FFFFFF"/>
            <w:tcMar>
              <w:top w:w="42" w:type="dxa"/>
              <w:start w:w="100" w:type="dxa"/>
              <w:bottom w:w="42" w:type="dxa"/>
              <w:end w:w="100" w:type="dxa"/>
            </w:tcMar>
            <w:vAlign w:val="top"/>
          </w:tcPr>
          <w:p>
            <w:pPr>
              <w:spacing w:after="0" w:line="240" w:lineRule="auto"/>
            </w:pPr>
            <w:r>
              <w:rPr>
                <w:sz w:val="15"/>
              </w:rPr>
              <w:t>Connect residents to homes, work, food, healthcare and training through measurable mobility services.</w:t>
            </w:r>
          </w:p>
        </w:tc>
        <w:tc>
          <w:tcPr>
            <w:tcW w:type="dxa" w:w="1512"/>
            <w:shd w:fill="FFFFFF"/>
            <w:tcMar>
              <w:top w:w="42" w:type="dxa"/>
              <w:start w:w="100" w:type="dxa"/>
              <w:bottom w:w="42" w:type="dxa"/>
              <w:end w:w="100" w:type="dxa"/>
            </w:tcMar>
            <w:vAlign w:val="top"/>
          </w:tcPr>
          <w:p>
            <w:pPr>
              <w:spacing w:after="0" w:line="240" w:lineRule="auto"/>
            </w:pPr>
            <w:r>
              <w:rPr>
                <w:sz w:val="15"/>
              </w:rPr>
              <w:t>/transportation-autonomy</w:t>
            </w:r>
          </w:p>
        </w:tc>
      </w:tr>
      <w:tr>
        <w:trPr>
          <w:cantSplit w:val="true"/>
          <w:trHeight w:hRule="atLeast"/>
        </w:trPr>
        <w:tc>
          <w:tcPr>
            <w:tcW w:type="dxa" w:w="2592"/>
            <w:shd w:fill="F3F4F4"/>
            <w:tcMar>
              <w:top w:w="42" w:type="dxa"/>
              <w:start w:w="100" w:type="dxa"/>
              <w:bottom w:w="42" w:type="dxa"/>
              <w:end w:w="100" w:type="dxa"/>
            </w:tcMar>
            <w:vAlign w:val="top"/>
          </w:tcPr>
          <w:p>
            <w:pPr>
              <w:spacing w:after="0" w:line="240" w:lineRule="auto"/>
            </w:pPr>
            <w:r>
              <w:rPr>
                <w:b/>
                <w:color w:val="2D3436"/>
                <w:sz w:val="15"/>
              </w:rPr>
              <w:t>Workforce &amp; Skills Autonomy</w:t>
            </w:r>
          </w:p>
        </w:tc>
        <w:tc>
          <w:tcPr>
            <w:tcW w:type="dxa" w:w="6408"/>
            <w:shd w:fill="F3F4F4"/>
            <w:tcMar>
              <w:top w:w="42" w:type="dxa"/>
              <w:start w:w="100" w:type="dxa"/>
              <w:bottom w:w="42" w:type="dxa"/>
              <w:end w:w="100" w:type="dxa"/>
            </w:tcMar>
            <w:vAlign w:val="top"/>
          </w:tcPr>
          <w:p>
            <w:pPr>
              <w:spacing w:after="0" w:line="240" w:lineRule="auto"/>
            </w:pPr>
            <w:r>
              <w:rPr>
                <w:sz w:val="15"/>
              </w:rPr>
              <w:t>Convert funded project demand into qualifications, employment and long-term local retention.</w:t>
            </w:r>
          </w:p>
        </w:tc>
        <w:tc>
          <w:tcPr>
            <w:tcW w:type="dxa" w:w="1512"/>
            <w:shd w:fill="F3F4F4"/>
            <w:tcMar>
              <w:top w:w="42" w:type="dxa"/>
              <w:start w:w="100" w:type="dxa"/>
              <w:bottom w:w="42" w:type="dxa"/>
              <w:end w:w="100" w:type="dxa"/>
            </w:tcMar>
            <w:vAlign w:val="top"/>
          </w:tcPr>
          <w:p>
            <w:pPr>
              <w:spacing w:after="0" w:line="240" w:lineRule="auto"/>
            </w:pPr>
            <w:r>
              <w:rPr>
                <w:sz w:val="15"/>
              </w:rPr>
              <w:t>/workforce-skills-autonomy</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pPr>
            <w:r>
              <w:rPr>
                <w:b/>
                <w:color w:val="2D3436"/>
                <w:sz w:val="15"/>
              </w:rPr>
              <w:t>Resource Development Autonomy</w:t>
            </w:r>
          </w:p>
        </w:tc>
        <w:tc>
          <w:tcPr>
            <w:tcW w:type="dxa" w:w="6408"/>
            <w:shd w:fill="FFFFFF"/>
            <w:tcMar>
              <w:top w:w="42" w:type="dxa"/>
              <w:start w:w="100" w:type="dxa"/>
              <w:bottom w:w="42" w:type="dxa"/>
              <w:end w:w="100" w:type="dxa"/>
            </w:tcMar>
            <w:vAlign w:val="top"/>
          </w:tcPr>
          <w:p>
            <w:pPr>
              <w:spacing w:after="0" w:line="240" w:lineRule="auto"/>
            </w:pPr>
            <w:r>
              <w:rPr>
                <w:sz w:val="15"/>
              </w:rPr>
              <w:t>Steward water systems and lawful resource participation for safety, lifecycle value and local benefit.</w:t>
            </w:r>
          </w:p>
        </w:tc>
        <w:tc>
          <w:tcPr>
            <w:tcW w:type="dxa" w:w="1512"/>
            <w:shd w:fill="FFFFFF"/>
            <w:tcMar>
              <w:top w:w="42" w:type="dxa"/>
              <w:start w:w="100" w:type="dxa"/>
              <w:bottom w:w="42" w:type="dxa"/>
              <w:end w:w="100" w:type="dxa"/>
            </w:tcMar>
            <w:vAlign w:val="top"/>
          </w:tcPr>
          <w:p>
            <w:pPr>
              <w:spacing w:after="0" w:line="240" w:lineRule="auto"/>
            </w:pPr>
            <w:r>
              <w:rPr>
                <w:sz w:val="15"/>
              </w:rPr>
              <w:t>/resource-development-autonomy</w:t>
            </w:r>
          </w:p>
        </w:tc>
      </w:tr>
      <w:tr>
        <w:trPr>
          <w:cantSplit w:val="true"/>
          <w:trHeight w:hRule="atLeast"/>
        </w:trPr>
        <w:tc>
          <w:tcPr>
            <w:tcW w:type="dxa" w:w="2592"/>
            <w:shd w:fill="F3F4F4"/>
            <w:tcMar>
              <w:top w:w="42" w:type="dxa"/>
              <w:start w:w="100" w:type="dxa"/>
              <w:bottom w:w="42" w:type="dxa"/>
              <w:end w:w="100" w:type="dxa"/>
            </w:tcMar>
            <w:vAlign w:val="top"/>
          </w:tcPr>
          <w:p>
            <w:pPr>
              <w:spacing w:after="0" w:line="240" w:lineRule="auto"/>
            </w:pPr>
            <w:r>
              <w:rPr>
                <w:b/>
                <w:color w:val="2D3436"/>
                <w:sz w:val="15"/>
              </w:rPr>
              <w:t>Energy Autonomy</w:t>
            </w:r>
          </w:p>
        </w:tc>
        <w:tc>
          <w:tcPr>
            <w:tcW w:type="dxa" w:w="6408"/>
            <w:shd w:fill="F3F4F4"/>
            <w:tcMar>
              <w:top w:w="42" w:type="dxa"/>
              <w:start w:w="100" w:type="dxa"/>
              <w:bottom w:w="42" w:type="dxa"/>
              <w:end w:w="100" w:type="dxa"/>
            </w:tcMar>
            <w:vAlign w:val="top"/>
          </w:tcPr>
          <w:p>
            <w:pPr>
              <w:spacing w:after="0" w:line="240" w:lineRule="auto"/>
            </w:pPr>
            <w:r>
              <w:rPr>
                <w:sz w:val="15"/>
              </w:rPr>
              <w:t>Use efficiency, procurement, generation and storage to test total cost and resilience outcomes.</w:t>
            </w:r>
          </w:p>
        </w:tc>
        <w:tc>
          <w:tcPr>
            <w:tcW w:type="dxa" w:w="1512"/>
            <w:shd w:fill="F3F4F4"/>
            <w:tcMar>
              <w:top w:w="42" w:type="dxa"/>
              <w:start w:w="100" w:type="dxa"/>
              <w:bottom w:w="42" w:type="dxa"/>
              <w:end w:w="100" w:type="dxa"/>
            </w:tcMar>
            <w:vAlign w:val="top"/>
          </w:tcPr>
          <w:p>
            <w:pPr>
              <w:spacing w:after="0" w:line="240" w:lineRule="auto"/>
            </w:pPr>
            <w:r>
              <w:rPr>
                <w:sz w:val="15"/>
              </w:rPr>
              <w:t>/energy-autonomy</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pPr>
            <w:r>
              <w:rPr>
                <w:b/>
                <w:color w:val="2D3436"/>
                <w:sz w:val="15"/>
              </w:rPr>
              <w:t>Digital &amp; Communications Autonomy</w:t>
            </w:r>
          </w:p>
        </w:tc>
        <w:tc>
          <w:tcPr>
            <w:tcW w:type="dxa" w:w="6408"/>
            <w:shd w:fill="FFFFFF"/>
            <w:tcMar>
              <w:top w:w="42" w:type="dxa"/>
              <w:start w:w="100" w:type="dxa"/>
              <w:bottom w:w="42" w:type="dxa"/>
              <w:end w:w="100" w:type="dxa"/>
            </w:tcMar>
            <w:vAlign w:val="top"/>
          </w:tcPr>
          <w:p>
            <w:pPr>
              <w:spacing w:after="0" w:line="240" w:lineRule="auto"/>
            </w:pPr>
            <w:r>
              <w:rPr>
                <w:sz w:val="15"/>
              </w:rPr>
              <w:t>Close connectivity gaps through coordinated infrastructure, service standards and accountable operating models.</w:t>
            </w:r>
          </w:p>
        </w:tc>
        <w:tc>
          <w:tcPr>
            <w:tcW w:type="dxa" w:w="1512"/>
            <w:shd w:fill="FFFFFF"/>
            <w:tcMar>
              <w:top w:w="42" w:type="dxa"/>
              <w:start w:w="100" w:type="dxa"/>
              <w:bottom w:w="42" w:type="dxa"/>
              <w:end w:w="100" w:type="dxa"/>
            </w:tcMar>
            <w:vAlign w:val="top"/>
          </w:tcPr>
          <w:p>
            <w:pPr>
              <w:spacing w:after="0" w:line="240" w:lineRule="auto"/>
            </w:pPr>
            <w:r>
              <w:rPr>
                <w:sz w:val="15"/>
              </w:rPr>
              <w:t>/digital-communications-autonomy</w:t>
            </w:r>
          </w:p>
        </w:tc>
      </w:tr>
    </w:tbl>
    <w:p>
      <w:pPr>
        <w:spacing w:after="0" w:line="40" w:lineRule="exact"/>
      </w:pPr>
      <w:r>
        <w:rPr>
          <w:sz w:val="2"/>
        </w:rPr>
        <w:t xml:space="preserve"> </w:t>
      </w:r>
    </w:p>
    <w:p>
      <w:pPr>
        <w:pStyle w:val="Heading1"/>
        <w:keepNext w:val="1"/>
        <w:keepLines w:val="1"/>
      </w:pPr>
      <w:r>
        <w:t>Hub source</w:t>
      </w:r>
    </w:p>
    <w:p>
      <w:pPr>
        <w:pStyle w:val="Source"/>
      </w:pPr>
      <w:r>
        <w:rPr>
          <w:b/>
        </w:rPr>
        <w:t xml:space="preserve">F1  </w:t>
      </w:r>
      <w:hyperlink r:id="rId11">
        <w:r>
          <w:rPr>
            <w:color w:val="244C5A"/>
            <w:u w:val="single"/>
            <w:rFonts w:ascii="Aptos" w:hAnsi="Aptos"/>
          </w:rPr>
          <w:t>Constitution Act, 1867, sections 92 and 92A</w:t>
        </w:r>
      </w:hyperlink>
      <w:r>
        <w:t xml:space="preserve"> — Allocates municipal institutions, hospitals, licences, local works, natural resources and electricity generation principally to provincial legislative authority.</w:t>
      </w:r>
    </w:p>
    <w:p>
      <w:r>
        <w:br w:type="page"/>
      </w:r>
    </w:p>
    <w:p>
      <w:pPr>
        <w:pStyle w:val="Kicker"/>
        <w:keepNext w:val="1"/>
        <w:keepLines w:val="1"/>
      </w:pPr>
      <w:r>
        <w:t>AUTONOMY 01  |  KEEP EXISTING SLUG /HOUSING</w:t>
      </w:r>
    </w:p>
    <w:p>
      <w:pPr>
        <w:pStyle w:val="TitlePage"/>
        <w:keepNext w:val="1"/>
        <w:keepLines w:val="1"/>
      </w:pPr>
      <w:bookmarkStart w:id="614270" w:name="housing"/>
      <w:bookmarkEnd w:id="614270"/>
      <w:r>
        <w:t>Housing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Housing Autonomy is the municipal capacity to assemble land, approvals, capital, delivery partners and long-term operating systems into permanent homes and defensible rental or ownership pathways.</w:t>
            </w:r>
          </w:p>
        </w:tc>
      </w:tr>
    </w:tbl>
    <w:p>
      <w:pPr>
        <w:spacing w:after="0"/>
      </w:pPr>
    </w:p>
    <w:p>
      <w:pPr>
        <w:pStyle w:val="Heading1"/>
        <w:keepNext w:val="1"/>
        <w:keepLines w:val="1"/>
      </w:pPr>
      <w:r>
        <w:t>Why this component exists</w:t>
      </w:r>
    </w:p>
    <w:p>
      <w:pPr>
        <w:pStyle w:val="BodyText"/>
      </w:pPr>
      <w:r>
        <w:t>Housing is included because a municipality can affect several inputs that determine whether homes are produced—land use, permitting, infrastructure sequencing, municipal land and procurement—yet those inputs are often managed separately. The purpose of Housing Autonomy is to make the delivery chain accountable from site selection through occupancy and long-term stability. It is not a claim that municipal action can independently control interest rates, construction prices, household incomes, immigration, provincial tenancy law or the supply of every skilled trade.</w:t>
      </w:r>
    </w:p>
    <w:p>
      <w:pPr>
        <w:pStyle w:val="BodyText"/>
      </w:pPr>
      <w:r>
        <w:t>The analytical test is not whether a municipality can announce units. It is whether the municipality can add suitable homes faster or at lower full lifecycle cost than the realistic alternatives, reach households excluded by the private market, preserve the intended tenure outcome, and fund maintenance without an undisclosed future liability.</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Foundational Homes</w:t>
            </w:r>
          </w:p>
        </w:tc>
        <w:tc>
          <w:tcPr>
            <w:tcW w:type="dxa" w:w="7560"/>
            <w:shd w:fill="FFFFFF"/>
            <w:tcMar>
              <w:top w:w="68" w:type="dxa"/>
              <w:start w:w="100" w:type="dxa"/>
              <w:bottom w:w="68" w:type="dxa"/>
              <w:end w:w="100" w:type="dxa"/>
            </w:tcMar>
            <w:vAlign w:val="top"/>
          </w:tcPr>
          <w:p>
            <w:pPr>
              <w:spacing w:after="0" w:line="240" w:lineRule="auto"/>
              <w:keepNext w:val="1"/>
            </w:pPr>
            <w:r>
              <w:rPr>
                <w:sz w:val="17"/>
              </w:rPr>
              <w:t>Permanent, code-compliant homes designed for durable tenure. They are not emergency shelter and their cost or ownership outcome must be demonstrated locally.</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Municipal Tiny Homes</w:t>
            </w:r>
          </w:p>
        </w:tc>
        <w:tc>
          <w:tcPr>
            <w:tcW w:type="dxa" w:w="7560"/>
            <w:shd w:fill="F3F4F4"/>
            <w:tcMar>
              <w:top w:w="68" w:type="dxa"/>
              <w:start w:w="100" w:type="dxa"/>
              <w:bottom w:w="68" w:type="dxa"/>
              <w:end w:w="100" w:type="dxa"/>
            </w:tcMar>
            <w:vAlign w:val="top"/>
          </w:tcPr>
          <w:p>
            <w:pPr>
              <w:spacing w:after="0" w:line="240" w:lineRule="auto"/>
              <w:keepNext w:val="1"/>
            </w:pPr>
            <w:r>
              <w:rPr>
                <w:sz w:val="17"/>
              </w:rPr>
              <w:t>Compact, code-compliant homes used where site, servicing, accessibility and tenure are suitable. Small size is a design option, not an exemption from safety or permanence.</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Land and subdivisions</w:t>
            </w:r>
          </w:p>
        </w:tc>
        <w:tc>
          <w:tcPr>
            <w:tcW w:type="dxa" w:w="7560"/>
            <w:shd w:fill="FFFFFF"/>
            <w:tcMar>
              <w:top w:w="68" w:type="dxa"/>
              <w:start w:w="100" w:type="dxa"/>
              <w:bottom w:w="68" w:type="dxa"/>
              <w:end w:w="100" w:type="dxa"/>
            </w:tcMar>
            <w:vAlign w:val="top"/>
          </w:tcPr>
          <w:p>
            <w:pPr>
              <w:spacing w:after="0" w:line="240" w:lineRule="auto"/>
              <w:keepNext w:val="1"/>
            </w:pPr>
            <w:r>
              <w:rPr>
                <w:sz w:val="17"/>
              </w:rPr>
              <w:t>Land banking, acquisition, site assembly, servicing and municipal subdivisions where authorized. The choice among fee simple, leasehold, rental or another tenure is a local policy decision.</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Rental and ownership pathways</w:t>
            </w:r>
          </w:p>
        </w:tc>
        <w:tc>
          <w:tcPr>
            <w:tcW w:type="dxa" w:w="7560"/>
            <w:shd w:fill="F3F4F4"/>
            <w:tcMar>
              <w:top w:w="68" w:type="dxa"/>
              <w:start w:w="100" w:type="dxa"/>
              <w:bottom w:w="68" w:type="dxa"/>
              <w:end w:w="100" w:type="dxa"/>
            </w:tcMar>
            <w:vAlign w:val="top"/>
          </w:tcPr>
          <w:p>
            <w:pPr>
              <w:spacing w:after="0" w:line="240" w:lineRule="auto"/>
              <w:keepNext w:val="1"/>
            </w:pPr>
            <w:r>
              <w:rPr>
                <w:sz w:val="17"/>
              </w:rPr>
              <w:t>Municipal rental, stable leases, rent-to-own, shared-equity or financing support where lawful and financially sustainable.</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Delivery partnerships</w:t>
            </w:r>
          </w:p>
        </w:tc>
        <w:tc>
          <w:tcPr>
            <w:tcW w:type="dxa" w:w="7560"/>
            <w:shd w:fill="FFFFFF"/>
            <w:tcMar>
              <w:top w:w="68" w:type="dxa"/>
              <w:start w:w="100" w:type="dxa"/>
              <w:bottom w:w="68" w:type="dxa"/>
              <w:end w:w="100" w:type="dxa"/>
            </w:tcMar>
            <w:vAlign w:val="top"/>
          </w:tcPr>
          <w:p>
            <w:pPr>
              <w:spacing w:after="0" w:line="240" w:lineRule="auto"/>
              <w:keepNext w:val="1"/>
            </w:pPr>
            <w:r>
              <w:rPr>
                <w:sz w:val="17"/>
              </w:rPr>
              <w:t>Private contractors, builders, nonprofits, Indigenous partners, lenders and housing agencies remain eligible participants.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Resident protection</w:t>
            </w:r>
          </w:p>
        </w:tc>
        <w:tc>
          <w:tcPr>
            <w:tcW w:type="dxa" w:w="7560"/>
            <w:shd w:fill="F3F4F4"/>
            <w:tcMar>
              <w:top w:w="68" w:type="dxa"/>
              <w:start w:w="100" w:type="dxa"/>
              <w:bottom w:w="68" w:type="dxa"/>
              <w:end w:w="100" w:type="dxa"/>
            </w:tcMar>
            <w:vAlign w:val="top"/>
          </w:tcPr>
          <w:p>
            <w:pPr>
              <w:spacing w:after="0" w:line="240" w:lineRule="auto"/>
            </w:pPr>
            <w:r>
              <w:rPr>
                <w:sz w:val="17"/>
              </w:rPr>
              <w:t>Property-tax deferral, repayment or relief options may advance the principle that a home should not be lost solely for tax arrears, but every mechanism is subject to provincial law and due-process requirements.</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Define need by household type, income, tenure, accessibility, location and urgency; separate homelessness, core housing need and general market demand.</w:t>
      </w:r>
    </w:p>
    <w:p>
      <w:pPr>
        <w:pStyle w:val="BodyText"/>
        <w:ind w:left="432" w:hanging="317"/>
        <w:keepLines w:val="1"/>
      </w:pPr>
      <w:r>
        <w:rPr>
          <w:b/>
        </w:rPr>
        <w:t xml:space="preserve">2.  </w:t>
      </w:r>
      <w:r>
        <w:t>Create a public land and servicing pipeline showing ownership, encumbrances, infrastructure capacity, approvals, estimated unit yield and decision dates.</w:t>
      </w:r>
    </w:p>
    <w:p>
      <w:pPr>
        <w:pStyle w:val="BodyText"/>
        <w:ind w:left="432" w:hanging="317"/>
        <w:keepLines w:val="1"/>
      </w:pPr>
      <w:r>
        <w:rPr>
          <w:b/>
        </w:rPr>
        <w:t xml:space="preserve">3.  </w:t>
      </w:r>
      <w:r>
        <w:t>Compare delivery and tenure options using one full-cost pro forma: land, servicing, construction, financing, operating cost, renewal reserve and any public subsidy.</w:t>
      </w:r>
    </w:p>
    <w:p>
      <w:pPr>
        <w:pStyle w:val="BodyText"/>
        <w:ind w:left="432" w:hanging="317"/>
        <w:keepLines w:val="1"/>
      </w:pPr>
      <w:r>
        <w:rPr>
          <w:b/>
        </w:rPr>
        <w:t xml:space="preserve">4.  </w:t>
      </w:r>
      <w:r>
        <w:t>Procure qualified delivery partners and apply normal building, safety, accessibility, labour and environmental requirements.</w:t>
      </w:r>
    </w:p>
    <w:p>
      <w:pPr>
        <w:pStyle w:val="BodyText"/>
        <w:ind w:left="432" w:hanging="317"/>
        <w:keepLines w:val="1"/>
      </w:pPr>
      <w:r>
        <w:rPr>
          <w:b/>
        </w:rPr>
        <w:t xml:space="preserve">5.  </w:t>
      </w:r>
      <w:r>
        <w:t>Allocate homes through published eligibility and anti-favouritism rules; record the value and duration of every subsidy or covenant.</w:t>
      </w:r>
    </w:p>
    <w:p>
      <w:pPr>
        <w:pStyle w:val="BodyText"/>
        <w:ind w:left="432" w:hanging="317"/>
        <w:keepLines w:val="1"/>
      </w:pPr>
      <w:r>
        <w:rPr>
          <w:b/>
        </w:rPr>
        <w:t xml:space="preserve">6.  </w:t>
      </w:r>
      <w:r>
        <w:t>Track occupancy, housing stability, maintenance, arrears, resale or lease compliance and asset condition after move-in—not only starts or completions.</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keepNext w:val="1"/>
            </w:pPr>
            <w:r>
              <w:rPr>
                <w:b/>
                <w:color w:val="FFFFFF"/>
                <w:sz w:val="16"/>
              </w:rPr>
              <w:t>Connection</w:t>
            </w:r>
          </w:p>
        </w:tc>
        <w:tc>
          <w:tcPr>
            <w:tcW w:type="dxa" w:w="7920"/>
            <w:shd w:fill="244C5A"/>
            <w:tcMar>
              <w:top w:w="58" w:type="dxa"/>
              <w:start w:w="100" w:type="dxa"/>
              <w:bottom w:w="58" w:type="dxa"/>
              <w:end w:w="100" w:type="dxa"/>
            </w:tcMar>
            <w:vAlign w:val="center"/>
          </w:tcPr>
          <w:p>
            <w:pPr>
              <w:spacing w:after="0"/>
              <w:keepNext w:val="1"/>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Workforce &amp; Skills</w:t>
            </w:r>
          </w:p>
        </w:tc>
        <w:tc>
          <w:tcPr>
            <w:tcW w:type="dxa" w:w="7920"/>
            <w:shd w:fill="FFFFFF"/>
            <w:tcMar>
              <w:top w:w="42" w:type="dxa"/>
              <w:start w:w="100" w:type="dxa"/>
              <w:bottom w:w="42" w:type="dxa"/>
              <w:end w:w="100" w:type="dxa"/>
            </w:tcMar>
            <w:vAlign w:val="top"/>
          </w:tcPr>
          <w:p>
            <w:pPr>
              <w:spacing w:after="0" w:line="240" w:lineRule="auto"/>
              <w:keepNext w:val="1"/>
            </w:pPr>
            <w:r>
              <w:rPr>
                <w:sz w:val="15"/>
              </w:rPr>
              <w:t>Construction schedules become funded trade and apprenticeship demand; worker housing also affects recruitment and retention.</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Resource Development</w:t>
            </w:r>
          </w:p>
        </w:tc>
        <w:tc>
          <w:tcPr>
            <w:tcW w:type="dxa" w:w="7920"/>
            <w:shd w:fill="F3F4F4"/>
            <w:tcMar>
              <w:top w:w="42" w:type="dxa"/>
              <w:start w:w="100" w:type="dxa"/>
              <w:bottom w:w="42" w:type="dxa"/>
              <w:end w:w="100" w:type="dxa"/>
            </w:tcMar>
            <w:vAlign w:val="top"/>
          </w:tcPr>
          <w:p>
            <w:pPr>
              <w:spacing w:after="0" w:line="240" w:lineRule="auto"/>
              <w:keepNext w:val="1"/>
            </w:pPr>
            <w:r>
              <w:rPr>
                <w:sz w:val="15"/>
              </w:rPr>
              <w:t>Potable water, wastewater and stormwater capacity determine how many homes a site can support and when.</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Energy</w:t>
            </w:r>
          </w:p>
        </w:tc>
        <w:tc>
          <w:tcPr>
            <w:tcW w:type="dxa" w:w="7920"/>
            <w:shd w:fill="FFFFFF"/>
            <w:tcMar>
              <w:top w:w="42" w:type="dxa"/>
              <w:start w:w="100" w:type="dxa"/>
              <w:bottom w:w="42" w:type="dxa"/>
              <w:end w:w="100" w:type="dxa"/>
            </w:tcMar>
            <w:vAlign w:val="top"/>
          </w:tcPr>
          <w:p>
            <w:pPr>
              <w:spacing w:after="0" w:line="240" w:lineRule="auto"/>
              <w:keepNext w:val="1"/>
            </w:pPr>
            <w:r>
              <w:rPr>
                <w:sz w:val="15"/>
              </w:rPr>
              <w:t>Building efficiency, electrical capacity and resilience affect household operating cost and municipal lifecycle cost.</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Transportation</w:t>
            </w:r>
          </w:p>
        </w:tc>
        <w:tc>
          <w:tcPr>
            <w:tcW w:type="dxa" w:w="7920"/>
            <w:shd w:fill="F3F4F4"/>
            <w:tcMar>
              <w:top w:w="42" w:type="dxa"/>
              <w:start w:w="100" w:type="dxa"/>
              <w:bottom w:w="42" w:type="dxa"/>
              <w:end w:w="100" w:type="dxa"/>
            </w:tcMar>
            <w:vAlign w:val="top"/>
          </w:tcPr>
          <w:p>
            <w:pPr>
              <w:spacing w:after="0" w:line="240" w:lineRule="auto"/>
              <w:keepNext w:val="1"/>
            </w:pPr>
            <w:r>
              <w:rPr>
                <w:sz w:val="15"/>
              </w:rPr>
              <w:t>Location determines access to work, food, healthcare and training; inexpensive construction on an inaccessible site can increase total household cost.</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Digital &amp; Communications</w:t>
            </w:r>
          </w:p>
        </w:tc>
        <w:tc>
          <w:tcPr>
            <w:tcW w:type="dxa" w:w="7920"/>
            <w:shd w:fill="FFFFFF"/>
            <w:tcMar>
              <w:top w:w="42" w:type="dxa"/>
              <w:start w:w="100" w:type="dxa"/>
              <w:bottom w:w="42" w:type="dxa"/>
              <w:end w:w="100" w:type="dxa"/>
            </w:tcMar>
            <w:vAlign w:val="top"/>
          </w:tcPr>
          <w:p>
            <w:pPr>
              <w:spacing w:after="0" w:line="240" w:lineRule="auto"/>
              <w:keepNext w:val="1"/>
            </w:pPr>
            <w:r>
              <w:rPr>
                <w:sz w:val="15"/>
              </w:rPr>
              <w:t>Served sites need reliable broadband and communications; conduit should be coordinated before roads are closed.</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Healthcare and Grocery</w:t>
            </w:r>
          </w:p>
        </w:tc>
        <w:tc>
          <w:tcPr>
            <w:tcW w:type="dxa" w:w="7920"/>
            <w:shd w:fill="F3F4F4"/>
            <w:tcMar>
              <w:top w:w="42" w:type="dxa"/>
              <w:start w:w="100" w:type="dxa"/>
              <w:bottom w:w="42" w:type="dxa"/>
              <w:end w:w="100" w:type="dxa"/>
            </w:tcMar>
            <w:vAlign w:val="top"/>
          </w:tcPr>
          <w:p>
            <w:pPr>
              <w:spacing w:after="0" w:line="240" w:lineRule="auto"/>
            </w:pPr>
            <w:r>
              <w:rPr>
                <w:sz w:val="15"/>
              </w:rPr>
              <w:t>Housing stability changes demand on shelters and emergency systems, while proximity to care and food affects the suitability of a home.</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Actor</w:t>
            </w:r>
          </w:p>
        </w:tc>
        <w:tc>
          <w:tcPr>
            <w:tcW w:type="dxa" w:w="8208"/>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208"/>
            <w:shd w:fill="FFFFFF"/>
            <w:tcMar>
              <w:top w:w="42" w:type="dxa"/>
              <w:start w:w="100" w:type="dxa"/>
              <w:bottom w:w="42" w:type="dxa"/>
              <w:end w:w="100" w:type="dxa"/>
            </w:tcMar>
            <w:vAlign w:val="top"/>
          </w:tcPr>
          <w:p>
            <w:pPr>
              <w:spacing w:after="0" w:line="240" w:lineRule="auto"/>
              <w:keepNext w:val="1"/>
            </w:pPr>
            <w:r>
              <w:rPr>
                <w:sz w:val="15"/>
              </w:rPr>
              <w:t>Land-use decisions, approvals, municipal land, infrastructure sequencing, procurement, local housing corporation governance and transparent subsidy accounting within provincial law.</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208"/>
            <w:shd w:fill="F3F4F4"/>
            <w:tcMar>
              <w:top w:w="42" w:type="dxa"/>
              <w:start w:w="100" w:type="dxa"/>
              <w:bottom w:w="42" w:type="dxa"/>
              <w:end w:w="100" w:type="dxa"/>
            </w:tcMar>
            <w:vAlign w:val="top"/>
          </w:tcPr>
          <w:p>
            <w:pPr>
              <w:spacing w:after="0" w:line="240" w:lineRule="auto"/>
              <w:keepNext w:val="1"/>
            </w:pPr>
            <w:r>
              <w:rPr>
                <w:sz w:val="15"/>
              </w:rPr>
              <w:t>Municipal powers, building and tenancy law, property-tax enforcement rules, housing regulation, social services and related funding responsibilities.</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Federal government and agencies</w:t>
            </w:r>
          </w:p>
        </w:tc>
        <w:tc>
          <w:tcPr>
            <w:tcW w:type="dxa" w:w="8208"/>
            <w:shd w:fill="FFFFFF"/>
            <w:tcMar>
              <w:top w:w="42" w:type="dxa"/>
              <w:start w:w="100" w:type="dxa"/>
              <w:bottom w:w="42" w:type="dxa"/>
              <w:end w:w="100" w:type="dxa"/>
            </w:tcMar>
            <w:vAlign w:val="top"/>
          </w:tcPr>
          <w:p>
            <w:pPr>
              <w:spacing w:after="0" w:line="240" w:lineRule="auto"/>
              <w:keepNext w:val="1"/>
            </w:pPr>
            <w:r>
              <w:rPr>
                <w:sz w:val="15"/>
              </w:rPr>
              <w:t>Federal tax, lending, insurance and housing programs; national data and infrastructure support.</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Partners</w:t>
            </w:r>
          </w:p>
        </w:tc>
        <w:tc>
          <w:tcPr>
            <w:tcW w:type="dxa" w:w="8208"/>
            <w:shd w:fill="F3F4F4"/>
            <w:tcMar>
              <w:top w:w="42" w:type="dxa"/>
              <w:start w:w="100" w:type="dxa"/>
              <w:bottom w:w="42" w:type="dxa"/>
              <w:end w:w="100" w:type="dxa"/>
            </w:tcMar>
            <w:vAlign w:val="top"/>
          </w:tcPr>
          <w:p>
            <w:pPr>
              <w:spacing w:after="0" w:line="240" w:lineRule="auto"/>
              <w:keepNext w:val="1"/>
            </w:pPr>
            <w:r>
              <w:rPr>
                <w:sz w:val="15"/>
              </w:rPr>
              <w:t>Design, construction, finance, operations, tenant or owner support and independent cost or quality review.</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pPr>
            <w:r>
              <w:rPr>
                <w:b/>
                <w:color w:val="2D3436"/>
                <w:sz w:val="15"/>
              </w:rPr>
              <w:t>Residents and rights holders</w:t>
            </w:r>
          </w:p>
        </w:tc>
        <w:tc>
          <w:tcPr>
            <w:tcW w:type="dxa" w:w="8208"/>
            <w:shd w:fill="FFFFFF"/>
            <w:tcMar>
              <w:top w:w="42" w:type="dxa"/>
              <w:start w:w="100" w:type="dxa"/>
              <w:bottom w:w="42" w:type="dxa"/>
              <w:end w:w="100" w:type="dxa"/>
            </w:tcMar>
            <w:vAlign w:val="top"/>
          </w:tcPr>
          <w:p>
            <w:pPr>
              <w:spacing w:after="0" w:line="240" w:lineRule="auto"/>
            </w:pPr>
            <w:r>
              <w:rPr>
                <w:sz w:val="15"/>
              </w:rPr>
              <w:t>Needs definition, accessibility and neighbourhood input; Indigenous rights and consultation where land or decisions engage them.</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728"/>
            <w:shd w:fill="244C5A"/>
            <w:tcMar>
              <w:top w:w="58" w:type="dxa"/>
              <w:start w:w="100" w:type="dxa"/>
              <w:bottom w:w="58" w:type="dxa"/>
              <w:end w:w="100" w:type="dxa"/>
            </w:tcMar>
            <w:vAlign w:val="center"/>
          </w:tcPr>
          <w:p>
            <w:pPr>
              <w:spacing w:after="0"/>
              <w:keepNext w:val="1"/>
            </w:pPr>
            <w:r>
              <w:rPr>
                <w:b/>
                <w:color w:val="FFFFFF"/>
                <w:sz w:val="16"/>
              </w:rPr>
              <w:t>Gate</w:t>
            </w:r>
          </w:p>
        </w:tc>
        <w:tc>
          <w:tcPr>
            <w:tcW w:type="dxa" w:w="8712"/>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Need</w:t>
            </w:r>
          </w:p>
        </w:tc>
        <w:tc>
          <w:tcPr>
            <w:tcW w:type="dxa" w:w="8712"/>
            <w:shd w:fill="FFFFFF"/>
            <w:tcMar>
              <w:top w:w="42" w:type="dxa"/>
              <w:start w:w="100" w:type="dxa"/>
              <w:bottom w:w="42" w:type="dxa"/>
              <w:end w:w="100" w:type="dxa"/>
            </w:tcMar>
            <w:vAlign w:val="top"/>
          </w:tcPr>
          <w:p>
            <w:pPr>
              <w:spacing w:after="0" w:line="240" w:lineRule="auto"/>
              <w:keepNext w:val="1"/>
            </w:pPr>
            <w:r>
              <w:rPr>
                <w:sz w:val="15"/>
              </w:rPr>
              <w:t>Which households are not served, how many, in what locations, and according to which baseline?</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Site</w:t>
            </w:r>
          </w:p>
        </w:tc>
        <w:tc>
          <w:tcPr>
            <w:tcW w:type="dxa" w:w="8712"/>
            <w:shd w:fill="F3F4F4"/>
            <w:tcMar>
              <w:top w:w="42" w:type="dxa"/>
              <w:start w:w="100" w:type="dxa"/>
              <w:bottom w:w="42" w:type="dxa"/>
              <w:end w:w="100" w:type="dxa"/>
            </w:tcMar>
            <w:vAlign w:val="top"/>
          </w:tcPr>
          <w:p>
            <w:pPr>
              <w:spacing w:after="0" w:line="240" w:lineRule="auto"/>
              <w:keepNext w:val="1"/>
            </w:pPr>
            <w:r>
              <w:rPr>
                <w:sz w:val="15"/>
              </w:rPr>
              <w:t>Is title clear, servicing adequate, contamination understood and transit or essential access defensible?</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Authority</w:t>
            </w:r>
          </w:p>
        </w:tc>
        <w:tc>
          <w:tcPr>
            <w:tcW w:type="dxa" w:w="8712"/>
            <w:shd w:fill="FFFFFF"/>
            <w:tcMar>
              <w:top w:w="42" w:type="dxa"/>
              <w:start w:w="100" w:type="dxa"/>
              <w:bottom w:w="42" w:type="dxa"/>
              <w:end w:w="100" w:type="dxa"/>
            </w:tcMar>
            <w:vAlign w:val="top"/>
          </w:tcPr>
          <w:p>
            <w:pPr>
              <w:spacing w:after="0" w:line="240" w:lineRule="auto"/>
              <w:keepNext w:val="1"/>
            </w:pPr>
            <w:r>
              <w:rPr>
                <w:sz w:val="15"/>
              </w:rPr>
              <w:t>Can the municipality use the proposed ownership, financing, allocation and property-tax mechanism under provincial law?</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Economics</w:t>
            </w:r>
          </w:p>
        </w:tc>
        <w:tc>
          <w:tcPr>
            <w:tcW w:type="dxa" w:w="8712"/>
            <w:shd w:fill="F3F4F4"/>
            <w:tcMar>
              <w:top w:w="42" w:type="dxa"/>
              <w:start w:w="100" w:type="dxa"/>
              <w:bottom w:w="42" w:type="dxa"/>
              <w:end w:w="100" w:type="dxa"/>
            </w:tcMar>
            <w:vAlign w:val="top"/>
          </w:tcPr>
          <w:p>
            <w:pPr>
              <w:spacing w:after="0" w:line="240" w:lineRule="auto"/>
              <w:keepNext w:val="1"/>
            </w:pPr>
            <w:r>
              <w:rPr>
                <w:sz w:val="15"/>
              </w:rPr>
              <w:t>What is full cost per completed and occupied home under low/base/high financing and construction assumptions?</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Tenure</w:t>
            </w:r>
          </w:p>
        </w:tc>
        <w:tc>
          <w:tcPr>
            <w:tcW w:type="dxa" w:w="8712"/>
            <w:shd w:fill="FFFFFF"/>
            <w:tcMar>
              <w:top w:w="42" w:type="dxa"/>
              <w:start w:w="100" w:type="dxa"/>
              <w:bottom w:w="42" w:type="dxa"/>
              <w:end w:w="100" w:type="dxa"/>
            </w:tcMar>
            <w:vAlign w:val="top"/>
          </w:tcPr>
          <w:p>
            <w:pPr>
              <w:spacing w:after="0" w:line="240" w:lineRule="auto"/>
              <w:keepNext w:val="1"/>
            </w:pPr>
            <w:r>
              <w:rPr>
                <w:sz w:val="15"/>
              </w:rPr>
              <w:t>How will affordability or stability be preserved, monitored and enforced; who bears resale, default and maintenance risk?</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pPr>
            <w:r>
              <w:rPr>
                <w:b/>
                <w:color w:val="2D3436"/>
                <w:sz w:val="15"/>
              </w:rPr>
              <w:t>Scale</w:t>
            </w:r>
          </w:p>
        </w:tc>
        <w:tc>
          <w:tcPr>
            <w:tcW w:type="dxa" w:w="8712"/>
            <w:shd w:fill="F3F4F4"/>
            <w:tcMar>
              <w:top w:w="42" w:type="dxa"/>
              <w:start w:w="100" w:type="dxa"/>
              <w:bottom w:w="42" w:type="dxa"/>
              <w:end w:w="100" w:type="dxa"/>
            </w:tcMar>
            <w:vAlign w:val="top"/>
          </w:tcPr>
          <w:p>
            <w:pPr>
              <w:spacing w:after="0" w:line="240" w:lineRule="auto"/>
            </w:pPr>
            <w:r>
              <w:rPr>
                <w:sz w:val="15"/>
              </w:rPr>
              <w:t>What pilot result would justify replication, and what threshold would stop or redesign the program?</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664"/>
            <w:shd w:fill="244C5A"/>
            <w:tcMar>
              <w:top w:w="58" w:type="dxa"/>
              <w:start w:w="100" w:type="dxa"/>
              <w:bottom w:w="58" w:type="dxa"/>
              <w:end w:w="100" w:type="dxa"/>
            </w:tcMar>
            <w:vAlign w:val="center"/>
          </w:tcPr>
          <w:p>
            <w:pPr>
              <w:spacing w:after="0"/>
            </w:pPr>
            <w:r>
              <w:rPr>
                <w:b/>
                <w:color w:val="FFFFFF"/>
                <w:sz w:val="16"/>
              </w:rPr>
              <w:t>Measure</w:t>
            </w:r>
          </w:p>
        </w:tc>
        <w:tc>
          <w:tcPr>
            <w:tcW w:type="dxa" w:w="7776"/>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Net suitable homes</w:t>
            </w:r>
          </w:p>
        </w:tc>
        <w:tc>
          <w:tcPr>
            <w:tcW w:type="dxa" w:w="7776"/>
            <w:shd w:fill="FFFFFF"/>
            <w:tcMar>
              <w:top w:w="42" w:type="dxa"/>
              <w:start w:w="100" w:type="dxa"/>
              <w:bottom w:w="42" w:type="dxa"/>
              <w:end w:w="100" w:type="dxa"/>
            </w:tcMar>
            <w:vAlign w:val="top"/>
          </w:tcPr>
          <w:p>
            <w:pPr>
              <w:spacing w:after="0" w:line="240" w:lineRule="auto"/>
            </w:pPr>
            <w:r>
              <w:rPr>
                <w:sz w:val="15"/>
              </w:rPr>
              <w:t>Completed, occupied homes added minus units removed, by tenure, size, accessibility and target household. Report starts separately.</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Delivery time</w:t>
            </w:r>
          </w:p>
        </w:tc>
        <w:tc>
          <w:tcPr>
            <w:tcW w:type="dxa" w:w="7776"/>
            <w:shd w:fill="F3F4F4"/>
            <w:tcMar>
              <w:top w:w="42" w:type="dxa"/>
              <w:start w:w="100" w:type="dxa"/>
              <w:bottom w:w="42" w:type="dxa"/>
              <w:end w:w="100" w:type="dxa"/>
            </w:tcMar>
            <w:vAlign w:val="top"/>
          </w:tcPr>
          <w:p>
            <w:pPr>
              <w:spacing w:after="0" w:line="240" w:lineRule="auto"/>
            </w:pPr>
            <w:r>
              <w:rPr>
                <w:sz w:val="15"/>
              </w:rPr>
              <w:t>Median months from site control and complete application to occupancy; report approval and construction time separately.</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Full cost per occupied home</w:t>
            </w:r>
          </w:p>
        </w:tc>
        <w:tc>
          <w:tcPr>
            <w:tcW w:type="dxa" w:w="7776"/>
            <w:shd w:fill="FFFFFF"/>
            <w:tcMar>
              <w:top w:w="42" w:type="dxa"/>
              <w:start w:w="100" w:type="dxa"/>
              <w:bottom w:w="42" w:type="dxa"/>
              <w:end w:w="100" w:type="dxa"/>
            </w:tcMar>
            <w:vAlign w:val="top"/>
          </w:tcPr>
          <w:p>
            <w:pPr>
              <w:spacing w:after="0" w:line="240" w:lineRule="auto"/>
            </w:pPr>
            <w:r>
              <w:rPr>
                <w:sz w:val="15"/>
              </w:rPr>
              <w:t>Land opportunity cost, servicing, construction, finance, overhead and subsidy divided by occupied homes; compare like-for-like alternatives.</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Housing cost burden</w:t>
            </w:r>
          </w:p>
        </w:tc>
        <w:tc>
          <w:tcPr>
            <w:tcW w:type="dxa" w:w="7776"/>
            <w:shd w:fill="F3F4F4"/>
            <w:tcMar>
              <w:top w:w="42" w:type="dxa"/>
              <w:start w:w="100" w:type="dxa"/>
              <w:bottom w:w="42" w:type="dxa"/>
              <w:end w:w="100" w:type="dxa"/>
            </w:tcMar>
            <w:vAlign w:val="top"/>
          </w:tcPr>
          <w:p>
            <w:pPr>
              <w:spacing w:after="0" w:line="240" w:lineRule="auto"/>
            </w:pPr>
            <w:r>
              <w:rPr>
                <w:sz w:val="15"/>
              </w:rPr>
              <w:t>Households spending 30% or more of before-tax income on shelter, with core-housing-need methodology where data permit.</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Housing stability</w:t>
            </w:r>
          </w:p>
        </w:tc>
        <w:tc>
          <w:tcPr>
            <w:tcW w:type="dxa" w:w="7776"/>
            <w:shd w:fill="FFFFFF"/>
            <w:tcMar>
              <w:top w:w="42" w:type="dxa"/>
              <w:start w:w="100" w:type="dxa"/>
              <w:bottom w:w="42" w:type="dxa"/>
              <w:end w:w="100" w:type="dxa"/>
            </w:tcMar>
            <w:vAlign w:val="top"/>
          </w:tcPr>
          <w:p>
            <w:pPr>
              <w:spacing w:after="0" w:line="240" w:lineRule="auto"/>
            </w:pPr>
            <w:r>
              <w:rPr>
                <w:sz w:val="15"/>
              </w:rPr>
              <w:t>Share of placements still in suitable housing at 12 and 24 months; track returns to shelter or homelessness without attributing every change to housing alone.</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Operating and reserve coverage</w:t>
            </w:r>
          </w:p>
        </w:tc>
        <w:tc>
          <w:tcPr>
            <w:tcW w:type="dxa" w:w="7776"/>
            <w:shd w:fill="F3F4F4"/>
            <w:tcMar>
              <w:top w:w="42" w:type="dxa"/>
              <w:start w:w="100" w:type="dxa"/>
              <w:bottom w:w="42" w:type="dxa"/>
              <w:end w:w="100" w:type="dxa"/>
            </w:tcMar>
            <w:vAlign w:val="top"/>
          </w:tcPr>
          <w:p>
            <w:pPr>
              <w:spacing w:after="0" w:line="240" w:lineRule="auto"/>
            </w:pPr>
            <w:r>
              <w:rPr>
                <w:sz w:val="15"/>
              </w:rPr>
              <w:t>Operating revenue and committed subsidy divided by operating expense, debt service and required renewal contribution.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Asset condition</w:t>
            </w:r>
          </w:p>
        </w:tc>
        <w:tc>
          <w:tcPr>
            <w:tcW w:type="dxa" w:w="7776"/>
            <w:shd w:fill="FFFFFF"/>
            <w:tcMar>
              <w:top w:w="42" w:type="dxa"/>
              <w:start w:w="100" w:type="dxa"/>
              <w:bottom w:w="42" w:type="dxa"/>
              <w:end w:w="100" w:type="dxa"/>
            </w:tcMar>
            <w:vAlign w:val="top"/>
          </w:tcPr>
          <w:p>
            <w:pPr>
              <w:spacing w:after="0" w:line="240" w:lineRule="auto"/>
            </w:pPr>
            <w:r>
              <w:rPr>
                <w:sz w:val="15"/>
              </w:rPr>
              <w:t>Units and infrastructure meeting inspection and planned-maintenance standards; disclose deferred maintenance.</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Equity and access</w:t>
            </w:r>
          </w:p>
        </w:tc>
        <w:tc>
          <w:tcPr>
            <w:tcW w:type="dxa" w:w="7776"/>
            <w:shd w:fill="F3F4F4"/>
            <w:tcMar>
              <w:top w:w="42" w:type="dxa"/>
              <w:start w:w="100" w:type="dxa"/>
              <w:bottom w:w="42" w:type="dxa"/>
              <w:end w:w="100" w:type="dxa"/>
            </w:tcMar>
            <w:vAlign w:val="top"/>
          </w:tcPr>
          <w:p>
            <w:pPr>
              <w:spacing w:after="0" w:line="240" w:lineRule="auto"/>
            </w:pPr>
            <w:r>
              <w:rPr>
                <w:sz w:val="15"/>
              </w:rPr>
              <w:t>Applicants, allocations, wait time and outcomes by household type and relevant equity characteristics, with privacy protection.</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Municipalities already control important land-use, permitting and infrastructure levers. CMHC Housing Accelerator Fund agreements illustrate municipal action plans and reporting obligations. Statistics Canada provides a defined national measure of core housing need.</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Current local need by household, land and servicing inventory, build cost, financing terms, operating cost, homelessness flows, market rents and prices, partner capacity and provincial authority.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The cost, speed, scale, tenure performance and homelessness impact of Foundational Homes, Municipal Tiny Homes, land banking, municipal rentals, rent-to-own or mortgage support are design propositions until a local business case and pilot report results.</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The page should not promise that municipal housing alone ends homelessness, that compact homes are automatically inexpensive, that rents can remain unchanged without funded lifecycle costs, or that one land-tenure model fits every municipality.</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76"/>
            <w:shd w:fill="244C5A"/>
            <w:tcMar>
              <w:top w:w="58" w:type="dxa"/>
              <w:start w:w="100" w:type="dxa"/>
              <w:bottom w:w="58" w:type="dxa"/>
              <w:end w:w="100" w:type="dxa"/>
            </w:tcMar>
            <w:vAlign w:val="center"/>
          </w:tcPr>
          <w:p>
            <w:pPr>
              <w:spacing w:after="0"/>
              <w:keepNext w:val="1"/>
            </w:pPr>
            <w:r>
              <w:rPr>
                <w:b/>
                <w:color w:val="FFFFFF"/>
                <w:sz w:val="16"/>
              </w:rPr>
              <w:t>Risk</w:t>
            </w:r>
          </w:p>
        </w:tc>
        <w:tc>
          <w:tcPr>
            <w:tcW w:type="dxa" w:w="8064"/>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Understated subsidy</w:t>
            </w:r>
          </w:p>
        </w:tc>
        <w:tc>
          <w:tcPr>
            <w:tcW w:type="dxa" w:w="8064"/>
            <w:shd w:fill="FFFFFF"/>
            <w:tcMar>
              <w:top w:w="42" w:type="dxa"/>
              <w:start w:w="100" w:type="dxa"/>
              <w:bottom w:w="42" w:type="dxa"/>
              <w:end w:w="100" w:type="dxa"/>
            </w:tcMar>
            <w:vAlign w:val="top"/>
          </w:tcPr>
          <w:p>
            <w:pPr>
              <w:spacing w:after="0" w:line="240" w:lineRule="auto"/>
              <w:keepNext w:val="1"/>
            </w:pPr>
            <w:r>
              <w:rPr>
                <w:sz w:val="15"/>
              </w:rPr>
              <w:t>Publish both cash and non-cash subsidy, including land opportunity cost, guarantees and below-market financing.</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Cost escalation</w:t>
            </w:r>
          </w:p>
        </w:tc>
        <w:tc>
          <w:tcPr>
            <w:tcW w:type="dxa" w:w="8064"/>
            <w:shd w:fill="F3F4F4"/>
            <w:tcMar>
              <w:top w:w="42" w:type="dxa"/>
              <w:start w:w="100" w:type="dxa"/>
              <w:bottom w:w="42" w:type="dxa"/>
              <w:end w:w="100" w:type="dxa"/>
            </w:tcMar>
            <w:vAlign w:val="top"/>
          </w:tcPr>
          <w:p>
            <w:pPr>
              <w:spacing w:after="0" w:line="240" w:lineRule="auto"/>
              <w:keepNext w:val="1"/>
            </w:pPr>
            <w:r>
              <w:rPr>
                <w:sz w:val="15"/>
              </w:rPr>
              <w:t>Independent quantity survey, contingencies, milestone gates and public variance reporting.</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Poor site choice</w:t>
            </w:r>
          </w:p>
        </w:tc>
        <w:tc>
          <w:tcPr>
            <w:tcW w:type="dxa" w:w="8064"/>
            <w:shd w:fill="FFFFFF"/>
            <w:tcMar>
              <w:top w:w="42" w:type="dxa"/>
              <w:start w:w="100" w:type="dxa"/>
              <w:bottom w:w="42" w:type="dxa"/>
              <w:end w:w="100" w:type="dxa"/>
            </w:tcMar>
            <w:vAlign w:val="top"/>
          </w:tcPr>
          <w:p>
            <w:pPr>
              <w:spacing w:after="0" w:line="240" w:lineRule="auto"/>
              <w:keepNext w:val="1"/>
            </w:pPr>
            <w:r>
              <w:rPr>
                <w:sz w:val="15"/>
              </w:rPr>
              <w:t>Score access, servicing, climate, contamination and neighbourhood impacts before acquisition or commitment.</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Maintenance failure</w:t>
            </w:r>
          </w:p>
        </w:tc>
        <w:tc>
          <w:tcPr>
            <w:tcW w:type="dxa" w:w="8064"/>
            <w:shd w:fill="F3F4F4"/>
            <w:tcMar>
              <w:top w:w="42" w:type="dxa"/>
              <w:start w:w="100" w:type="dxa"/>
              <w:bottom w:w="42" w:type="dxa"/>
              <w:end w:w="100" w:type="dxa"/>
            </w:tcMar>
            <w:vAlign w:val="top"/>
          </w:tcPr>
          <w:p>
            <w:pPr>
              <w:spacing w:after="0" w:line="240" w:lineRule="auto"/>
              <w:keepNext w:val="1"/>
            </w:pPr>
            <w:r>
              <w:rPr>
                <w:sz w:val="15"/>
              </w:rPr>
              <w:t>Fund lifecycle reserves and condition audits before expanding the portfolio.</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Allocation or resale abuse</w:t>
            </w:r>
          </w:p>
        </w:tc>
        <w:tc>
          <w:tcPr>
            <w:tcW w:type="dxa" w:w="8064"/>
            <w:shd w:fill="FFFFFF"/>
            <w:tcMar>
              <w:top w:w="42" w:type="dxa"/>
              <w:start w:w="100" w:type="dxa"/>
              <w:bottom w:w="42" w:type="dxa"/>
              <w:end w:w="100" w:type="dxa"/>
            </w:tcMar>
            <w:vAlign w:val="top"/>
          </w:tcPr>
          <w:p>
            <w:pPr>
              <w:spacing w:after="0" w:line="240" w:lineRule="auto"/>
              <w:keepNext w:val="1"/>
            </w:pPr>
            <w:r>
              <w:rPr>
                <w:sz w:val="15"/>
              </w:rPr>
              <w:t>Published eligibility, conflicts rules, audit trail, covenants and appeal process.</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pPr>
            <w:r>
              <w:rPr>
                <w:b/>
                <w:color w:val="2D3436"/>
                <w:sz w:val="15"/>
              </w:rPr>
              <w:t>Property-tax hardship</w:t>
            </w:r>
          </w:p>
        </w:tc>
        <w:tc>
          <w:tcPr>
            <w:tcW w:type="dxa" w:w="8064"/>
            <w:shd w:fill="F3F4F4"/>
            <w:tcMar>
              <w:top w:w="42" w:type="dxa"/>
              <w:start w:w="100" w:type="dxa"/>
              <w:bottom w:w="42" w:type="dxa"/>
              <w:end w:w="100" w:type="dxa"/>
            </w:tcMar>
            <w:vAlign w:val="top"/>
          </w:tcPr>
          <w:p>
            <w:pPr>
              <w:spacing w:after="0" w:line="240" w:lineRule="auto"/>
            </w:pPr>
            <w:r>
              <w:rPr>
                <w:sz w:val="15"/>
              </w:rPr>
              <w:t>Use lawful early-intervention, deferral and repayment tools; reserve forced sale for the last lawful stage with notice, review and equity safeguards.</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H1  </w:t>
      </w:r>
      <w:hyperlink r:id="rId12">
        <w:r>
          <w:rPr>
            <w:color w:val="244C5A"/>
            <w:u w:val="single"/>
            <w:rFonts w:ascii="Aptos" w:hAnsi="Aptos"/>
          </w:rPr>
          <w:t>CMHC Housing Accelerator Fund agreement update</w:t>
        </w:r>
      </w:hyperlink>
      <w:r>
        <w:t xml:space="preserve"> — Shows municipal action plans, zoning and permitting measures, and annual reporting; it does not validate CDMM unit-cost claims.</w:t>
      </w:r>
    </w:p>
    <w:p>
      <w:pPr>
        <w:pStyle w:val="Source"/>
      </w:pPr>
      <w:r>
        <w:rPr>
          <w:b/>
        </w:rPr>
        <w:t xml:space="preserve">H2  </w:t>
      </w:r>
      <w:hyperlink r:id="rId13">
        <w:r>
          <w:rPr>
            <w:color w:val="244C5A"/>
            <w:u w:val="single"/>
            <w:rFonts w:ascii="Aptos" w:hAnsi="Aptos"/>
          </w:rPr>
          <w:t>Statistics Canada Core housing need in Canada</w:t>
        </w:r>
      </w:hyperlink>
      <w:r>
        <w:t xml:space="preserve"> — Provides the defined indicator and 2021 national context; use a current local baseline for decisions.</w:t>
      </w:r>
    </w:p>
    <w:p>
      <w:pPr>
        <w:pStyle w:val="Source"/>
      </w:pPr>
      <w:r>
        <w:rPr>
          <w:b/>
        </w:rPr>
        <w:t xml:space="preserve">H3  </w:t>
      </w:r>
      <w:hyperlink r:id="rId14">
        <w:r>
          <w:rPr>
            <w:color w:val="244C5A"/>
            <w:u w:val="single"/>
            <w:rFonts w:ascii="Aptos" w:hAnsi="Aptos"/>
          </w:rPr>
          <w:t>Canada’s National Infrastructure Assessment</w:t>
        </w:r>
      </w:hyperlink>
      <w:r>
        <w:t xml:space="preserve"> — Supports the need to connect housing with water, transit and other enabling infrastructure.</w:t>
      </w:r>
    </w:p>
    <w:p>
      <w:r>
        <w:br w:type="page"/>
      </w:r>
    </w:p>
    <w:p>
      <w:pPr>
        <w:pStyle w:val="Kicker"/>
        <w:keepNext w:val="1"/>
        <w:keepLines w:val="1"/>
      </w:pPr>
      <w:r>
        <w:t>AUTONOMY 02  |  KEEP EXISTING SLUG /MUNICIPAL-GROCERY-AUTONOMY</w:t>
      </w:r>
    </w:p>
    <w:p>
      <w:pPr>
        <w:pStyle w:val="TitlePage"/>
        <w:keepNext w:val="1"/>
        <w:keepLines w:val="1"/>
      </w:pPr>
      <w:bookmarkStart w:id="288921" w:name="mga"/>
      <w:bookmarkEnd w:id="288921"/>
      <w:r>
        <w:t>Municipal Grocery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Municipal Grocery Autonomy is the local capacity to test a municipally owned or controlled grocery enterprise that coordinates purchasing, producers, warehousing, distribution, price access and emergency food support while private grocers remain in the market.</w:t>
            </w:r>
          </w:p>
        </w:tc>
      </w:tr>
    </w:tbl>
    <w:p>
      <w:pPr>
        <w:spacing w:after="0"/>
      </w:pPr>
    </w:p>
    <w:p>
      <w:pPr>
        <w:pStyle w:val="Heading1"/>
        <w:keepNext w:val="1"/>
        <w:keepLines w:val="1"/>
      </w:pPr>
      <w:r>
        <w:t>Why this component exists</w:t>
      </w:r>
    </w:p>
    <w:p>
      <w:pPr>
        <w:pStyle w:val="BodyText"/>
      </w:pPr>
      <w:r>
        <w:t>Food access is shaped by household income, retail competition, location, transportation, logistics, storage, producer relationships and emergency support. A municipality cannot solve all of those causes through a store. It can, however, test whether pooled demand, transparent pricing and coordinated distribution improve access in a demonstrable market gap. Municipal ownership is a delivery option, not evidence that prices will be lower.</w:t>
      </w:r>
    </w:p>
    <w:p>
      <w:pPr>
        <w:pStyle w:val="BodyText"/>
      </w:pPr>
      <w:r>
        <w:t>MGA should therefore be evaluated as both an operating business and a public-purpose intervention. The accounts must show the true cost of inventory, labour, occupancy, refrigeration, transport, shrink, debt and municipal services. Social benefits should be measured separately from the operating margin so council can decide openly whether any subsidy is justified.</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Retail formats</w:t>
            </w:r>
          </w:p>
        </w:tc>
        <w:tc>
          <w:tcPr>
            <w:tcW w:type="dxa" w:w="7560"/>
            <w:shd w:fill="FFFFFF"/>
            <w:tcMar>
              <w:top w:w="68" w:type="dxa"/>
              <w:start w:w="100" w:type="dxa"/>
              <w:bottom w:w="68" w:type="dxa"/>
              <w:end w:w="100" w:type="dxa"/>
            </w:tcMar>
            <w:vAlign w:val="top"/>
          </w:tcPr>
          <w:p>
            <w:pPr>
              <w:spacing w:after="0" w:line="240" w:lineRule="auto"/>
              <w:keepNext w:val="1"/>
            </w:pPr>
            <w:r>
              <w:rPr>
                <w:sz w:val="17"/>
              </w:rPr>
              <w:t>A store, mobile market, click-and-collect, delivery or hybrid format selected from local demand and access evidence.</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Purchasing and storage</w:t>
            </w:r>
          </w:p>
        </w:tc>
        <w:tc>
          <w:tcPr>
            <w:tcW w:type="dxa" w:w="7560"/>
            <w:shd w:fill="F3F4F4"/>
            <w:tcMar>
              <w:top w:w="68" w:type="dxa"/>
              <w:start w:w="100" w:type="dxa"/>
              <w:bottom w:w="68" w:type="dxa"/>
              <w:end w:w="100" w:type="dxa"/>
            </w:tcMar>
            <w:vAlign w:val="top"/>
          </w:tcPr>
          <w:p>
            <w:pPr>
              <w:spacing w:after="0" w:line="240" w:lineRule="auto"/>
              <w:keepNext w:val="1"/>
            </w:pPr>
            <w:r>
              <w:rPr>
                <w:sz w:val="17"/>
              </w:rPr>
              <w:t>Bulk or coordinated purchasing, warehouse functions, inventory systems and shared logistics where scale produces a documented advantage.</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Producers</w:t>
            </w:r>
          </w:p>
        </w:tc>
        <w:tc>
          <w:tcPr>
            <w:tcW w:type="dxa" w:w="7560"/>
            <w:shd w:fill="FFFFFF"/>
            <w:tcMar>
              <w:top w:w="68" w:type="dxa"/>
              <w:start w:w="100" w:type="dxa"/>
              <w:bottom w:w="68" w:type="dxa"/>
              <w:end w:w="100" w:type="dxa"/>
            </w:tcMar>
            <w:vAlign w:val="top"/>
          </w:tcPr>
          <w:p>
            <w:pPr>
              <w:spacing w:after="0" w:line="240" w:lineRule="auto"/>
              <w:keepNext w:val="1"/>
            </w:pPr>
            <w:r>
              <w:rPr>
                <w:sz w:val="17"/>
              </w:rPr>
              <w:t>Voluntary contracts with farmers, fishers, greenhouses, processors and other suppliers using fair specifications, price terms and payment schedules.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Food-bank integration</w:t>
            </w:r>
          </w:p>
        </w:tc>
        <w:tc>
          <w:tcPr>
            <w:tcW w:type="dxa" w:w="7560"/>
            <w:shd w:fill="F3F4F4"/>
            <w:tcMar>
              <w:top w:w="68" w:type="dxa"/>
              <w:start w:w="100" w:type="dxa"/>
              <w:bottom w:w="68" w:type="dxa"/>
              <w:end w:w="100" w:type="dxa"/>
            </w:tcMar>
            <w:vAlign w:val="top"/>
          </w:tcPr>
          <w:p>
            <w:pPr>
              <w:spacing w:after="0" w:line="240" w:lineRule="auto"/>
              <w:keepNext w:val="1"/>
            </w:pPr>
            <w:r>
              <w:rPr>
                <w:sz w:val="17"/>
              </w:rPr>
              <w:t>Coordinate referrals, appropriate surplus and emergency access while keeping food banks available for temporary and crisis support. Measure whether chronic reliance changes.</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Regulated beverages</w:t>
            </w:r>
          </w:p>
        </w:tc>
        <w:tc>
          <w:tcPr>
            <w:tcW w:type="dxa" w:w="7560"/>
            <w:shd w:fill="FFFFFF"/>
            <w:tcMar>
              <w:top w:w="68" w:type="dxa"/>
              <w:start w:w="100" w:type="dxa"/>
              <w:bottom w:w="68" w:type="dxa"/>
              <w:end w:w="100" w:type="dxa"/>
            </w:tcMar>
            <w:vAlign w:val="top"/>
          </w:tcPr>
          <w:p>
            <w:pPr>
              <w:spacing w:after="0" w:line="240" w:lineRule="auto"/>
              <w:keepNext w:val="1"/>
            </w:pPr>
            <w:r>
              <w:rPr>
                <w:sz w:val="17"/>
              </w:rPr>
              <w:t>Municipal liquor or regulated beverage retail only where provincial law expressly permits it, with separate licensing, safety, taxation and accounting controls.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Market role</w:t>
            </w:r>
          </w:p>
        </w:tc>
        <w:tc>
          <w:tcPr>
            <w:tcW w:type="dxa" w:w="7560"/>
            <w:shd w:fill="F3F4F4"/>
            <w:tcMar>
              <w:top w:w="68" w:type="dxa"/>
              <w:start w:w="100" w:type="dxa"/>
              <w:bottom w:w="68" w:type="dxa"/>
              <w:end w:w="100" w:type="dxa"/>
            </w:tcMar>
            <w:vAlign w:val="top"/>
          </w:tcPr>
          <w:p>
            <w:pPr>
              <w:spacing w:after="0" w:line="240" w:lineRule="auto"/>
            </w:pPr>
            <w:r>
              <w:rPr>
                <w:sz w:val="17"/>
              </w:rPr>
              <w:t>MGA is a potential municipal competitor or gap-filler, not a compulsory monopoly. Private grocers and independent retailers continue to operate.</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Measure food access and a standardized local basket by neighbourhood; distinguish affordability, distance, mobility and product-availability problems.</w:t>
      </w:r>
    </w:p>
    <w:p>
      <w:pPr>
        <w:pStyle w:val="BodyText"/>
        <w:ind w:left="432" w:hanging="317"/>
        <w:keepLines w:val="1"/>
      </w:pPr>
      <w:r>
        <w:rPr>
          <w:b/>
        </w:rPr>
        <w:t xml:space="preserve">2.  </w:t>
      </w:r>
      <w:r>
        <w:t>Test the market: existing retailers, planned entry, producer capacity, wholesale terms, distribution routes and realistic customer demand.</w:t>
      </w:r>
    </w:p>
    <w:p>
      <w:pPr>
        <w:pStyle w:val="BodyText"/>
        <w:ind w:left="432" w:hanging="317"/>
        <w:keepLines w:val="1"/>
      </w:pPr>
      <w:r>
        <w:rPr>
          <w:b/>
        </w:rPr>
        <w:t xml:space="preserve">3.  </w:t>
      </w:r>
      <w:r>
        <w:t>Compare formats and ownership structures on full cost. A warehouse, mobile route or procurement partnership may answer the gap better than a full store.</w:t>
      </w:r>
    </w:p>
    <w:p>
      <w:pPr>
        <w:pStyle w:val="BodyText"/>
        <w:ind w:left="432" w:hanging="317"/>
        <w:keepLines w:val="1"/>
      </w:pPr>
      <w:r>
        <w:rPr>
          <w:b/>
        </w:rPr>
        <w:t xml:space="preserve">4.  </w:t>
      </w:r>
      <w:r>
        <w:t>Set a public pricing policy that identifies cost pass-through, margin, promotions, loyalty treatment and any explicitly funded social-price program.</w:t>
      </w:r>
    </w:p>
    <w:p>
      <w:pPr>
        <w:pStyle w:val="BodyText"/>
        <w:ind w:left="432" w:hanging="317"/>
        <w:keepLines w:val="1"/>
      </w:pPr>
      <w:r>
        <w:rPr>
          <w:b/>
        </w:rPr>
        <w:t xml:space="preserve">5.  </w:t>
      </w:r>
      <w:r>
        <w:t>Establish food-safety, traceability, inventory, cash, procurement, conflict-of-interest and regulated-product controls before opening.</w:t>
      </w:r>
    </w:p>
    <w:p>
      <w:pPr>
        <w:pStyle w:val="BodyText"/>
        <w:ind w:left="432" w:hanging="317"/>
        <w:keepLines w:val="1"/>
      </w:pPr>
      <w:r>
        <w:rPr>
          <w:b/>
        </w:rPr>
        <w:t xml:space="preserve">6.  </w:t>
      </w:r>
      <w:r>
        <w:t>Pilot, publish the operating and social accounts separately, and scale only when demand, service quality and the chosen financial threshold are sustained.</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pPr>
            <w:r>
              <w:rPr>
                <w:b/>
                <w:color w:val="FFFFFF"/>
                <w:sz w:val="16"/>
              </w:rPr>
              <w:t>Connection</w:t>
            </w:r>
          </w:p>
        </w:tc>
        <w:tc>
          <w:tcPr>
            <w:tcW w:type="dxa" w:w="7920"/>
            <w:shd w:fill="244C5A"/>
            <w:tcMar>
              <w:top w:w="58" w:type="dxa"/>
              <w:start w:w="100" w:type="dxa"/>
              <w:bottom w:w="58" w:type="dxa"/>
              <w:end w:w="100" w:type="dxa"/>
            </w:tcMar>
            <w:vAlign w:val="center"/>
          </w:tcPr>
          <w:p>
            <w:pPr>
              <w:spacing w:after="0"/>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Transportation</w:t>
            </w:r>
          </w:p>
        </w:tc>
        <w:tc>
          <w:tcPr>
            <w:tcW w:type="dxa" w:w="7920"/>
            <w:shd w:fill="FFFFFF"/>
            <w:tcMar>
              <w:top w:w="42" w:type="dxa"/>
              <w:start w:w="100" w:type="dxa"/>
              <w:bottom w:w="42" w:type="dxa"/>
              <w:end w:w="100" w:type="dxa"/>
            </w:tcMar>
            <w:vAlign w:val="top"/>
          </w:tcPr>
          <w:p>
            <w:pPr>
              <w:spacing w:after="0" w:line="240" w:lineRule="auto"/>
            </w:pPr>
            <w:r>
              <w:rPr>
                <w:sz w:val="15"/>
              </w:rPr>
              <w:t>Customer access, home delivery and supplier logistics determine service reach and cost.</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Fuel</w:t>
            </w:r>
          </w:p>
        </w:tc>
        <w:tc>
          <w:tcPr>
            <w:tcW w:type="dxa" w:w="7920"/>
            <w:shd w:fill="F3F4F4"/>
            <w:tcMar>
              <w:top w:w="42" w:type="dxa"/>
              <w:start w:w="100" w:type="dxa"/>
              <w:bottom w:w="42" w:type="dxa"/>
              <w:end w:w="100" w:type="dxa"/>
            </w:tcMar>
            <w:vAlign w:val="top"/>
          </w:tcPr>
          <w:p>
            <w:pPr>
              <w:spacing w:after="0" w:line="240" w:lineRule="auto"/>
            </w:pPr>
            <w:r>
              <w:rPr>
                <w:sz w:val="15"/>
              </w:rPr>
              <w:t>Fuel procurement can affect delivery cost, but savings should be transferred using an explicit inter-enterprise price rather than an opaque cross-subsidy.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Energy</w:t>
            </w:r>
          </w:p>
        </w:tc>
        <w:tc>
          <w:tcPr>
            <w:tcW w:type="dxa" w:w="7920"/>
            <w:shd w:fill="FFFFFF"/>
            <w:tcMar>
              <w:top w:w="42" w:type="dxa"/>
              <w:start w:w="100" w:type="dxa"/>
              <w:bottom w:w="42" w:type="dxa"/>
              <w:end w:w="100" w:type="dxa"/>
            </w:tcMar>
            <w:vAlign w:val="top"/>
          </w:tcPr>
          <w:p>
            <w:pPr>
              <w:spacing w:after="0" w:line="240" w:lineRule="auto"/>
            </w:pPr>
            <w:r>
              <w:rPr>
                <w:sz w:val="15"/>
              </w:rPr>
              <w:t>Refrigeration, lighting and backup power are material costs and food-loss controls.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Digital &amp; Communications</w:t>
            </w:r>
          </w:p>
        </w:tc>
        <w:tc>
          <w:tcPr>
            <w:tcW w:type="dxa" w:w="7920"/>
            <w:shd w:fill="F3F4F4"/>
            <w:tcMar>
              <w:top w:w="42" w:type="dxa"/>
              <w:start w:w="100" w:type="dxa"/>
              <w:bottom w:w="42" w:type="dxa"/>
              <w:end w:w="100" w:type="dxa"/>
            </w:tcMar>
            <w:vAlign w:val="top"/>
          </w:tcPr>
          <w:p>
            <w:pPr>
              <w:spacing w:after="0" w:line="240" w:lineRule="auto"/>
            </w:pPr>
            <w:r>
              <w:rPr>
                <w:sz w:val="15"/>
              </w:rPr>
              <w:t>Inventory, demand forecasting, producer orders, online access, payments and price reporting depend on reliable systems.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Workforce &amp; Skills</w:t>
            </w:r>
          </w:p>
        </w:tc>
        <w:tc>
          <w:tcPr>
            <w:tcW w:type="dxa" w:w="7920"/>
            <w:shd w:fill="FFFFFF"/>
            <w:tcMar>
              <w:top w:w="42" w:type="dxa"/>
              <w:start w:w="100" w:type="dxa"/>
              <w:bottom w:w="42" w:type="dxa"/>
              <w:end w:w="100" w:type="dxa"/>
            </w:tcMar>
            <w:vAlign w:val="top"/>
          </w:tcPr>
          <w:p>
            <w:pPr>
              <w:spacing w:after="0" w:line="240" w:lineRule="auto"/>
            </w:pPr>
            <w:r>
              <w:rPr>
                <w:sz w:val="15"/>
              </w:rPr>
              <w:t>Retail, food handling, logistics, procurement and management positions must be costed and recruited.</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Resource Development</w:t>
            </w:r>
          </w:p>
        </w:tc>
        <w:tc>
          <w:tcPr>
            <w:tcW w:type="dxa" w:w="7920"/>
            <w:shd w:fill="F3F4F4"/>
            <w:tcMar>
              <w:top w:w="42" w:type="dxa"/>
              <w:start w:w="100" w:type="dxa"/>
              <w:bottom w:w="42" w:type="dxa"/>
              <w:end w:w="100" w:type="dxa"/>
            </w:tcMar>
            <w:vAlign w:val="top"/>
          </w:tcPr>
          <w:p>
            <w:pPr>
              <w:spacing w:after="0" w:line="240" w:lineRule="auto"/>
            </w:pPr>
            <w:r>
              <w:rPr>
                <w:sz w:val="15"/>
              </w:rPr>
              <w:t>Water, wastewater, agriculture and local-resource conditions affect processing and producer supply.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Housing and Healthcare</w:t>
            </w:r>
          </w:p>
        </w:tc>
        <w:tc>
          <w:tcPr>
            <w:tcW w:type="dxa" w:w="7920"/>
            <w:shd w:fill="FFFFFF"/>
            <w:tcMar>
              <w:top w:w="42" w:type="dxa"/>
              <w:start w:w="100" w:type="dxa"/>
              <w:bottom w:w="42" w:type="dxa"/>
              <w:end w:w="100" w:type="dxa"/>
            </w:tcMar>
            <w:vAlign w:val="top"/>
          </w:tcPr>
          <w:p>
            <w:pPr>
              <w:spacing w:after="0" w:line="240" w:lineRule="auto"/>
            </w:pPr>
            <w:r>
              <w:rPr>
                <w:sz w:val="15"/>
              </w:rPr>
              <w:t>Location and delivery affect household access; food-security trends are relevant to population health but should not be attributed to MGA alone.</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76"/>
            <w:shd w:fill="244C5A"/>
            <w:tcMar>
              <w:top w:w="58" w:type="dxa"/>
              <w:start w:w="100" w:type="dxa"/>
              <w:bottom w:w="58" w:type="dxa"/>
              <w:end w:w="100" w:type="dxa"/>
            </w:tcMar>
            <w:vAlign w:val="center"/>
          </w:tcPr>
          <w:p>
            <w:pPr>
              <w:spacing w:after="0"/>
              <w:keepNext w:val="1"/>
            </w:pPr>
            <w:r>
              <w:rPr>
                <w:b/>
                <w:color w:val="FFFFFF"/>
                <w:sz w:val="16"/>
              </w:rPr>
              <w:t>Actor</w:t>
            </w:r>
          </w:p>
        </w:tc>
        <w:tc>
          <w:tcPr>
            <w:tcW w:type="dxa" w:w="8064"/>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064"/>
            <w:shd w:fill="FFFFFF"/>
            <w:tcMar>
              <w:top w:w="42" w:type="dxa"/>
              <w:start w:w="100" w:type="dxa"/>
              <w:bottom w:w="42" w:type="dxa"/>
              <w:end w:w="100" w:type="dxa"/>
            </w:tcMar>
            <w:vAlign w:val="top"/>
          </w:tcPr>
          <w:p>
            <w:pPr>
              <w:spacing w:after="0" w:line="240" w:lineRule="auto"/>
              <w:keepNext w:val="1"/>
            </w:pPr>
            <w:r>
              <w:rPr>
                <w:sz w:val="15"/>
              </w:rPr>
              <w:t>Business case, governance, capital approval, procurement, land-use and operating oversight; explicit separation of business performance and social policy costs.</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064"/>
            <w:shd w:fill="F3F4F4"/>
            <w:tcMar>
              <w:top w:w="42" w:type="dxa"/>
              <w:start w:w="100" w:type="dxa"/>
              <w:bottom w:w="42" w:type="dxa"/>
              <w:end w:w="100" w:type="dxa"/>
            </w:tcMar>
            <w:vAlign w:val="top"/>
          </w:tcPr>
          <w:p>
            <w:pPr>
              <w:spacing w:after="0" w:line="240" w:lineRule="auto"/>
              <w:keepNext w:val="1"/>
            </w:pPr>
            <w:r>
              <w:rPr>
                <w:sz w:val="15"/>
              </w:rPr>
              <w:t>Municipal authority, food-premises rules, regulated-product licensing, labour and consumer rules, public-health oversight and social-policy responsibilities.</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Federal authorities</w:t>
            </w:r>
          </w:p>
        </w:tc>
        <w:tc>
          <w:tcPr>
            <w:tcW w:type="dxa" w:w="8064"/>
            <w:shd w:fill="FFFFFF"/>
            <w:tcMar>
              <w:top w:w="42" w:type="dxa"/>
              <w:start w:w="100" w:type="dxa"/>
              <w:bottom w:w="42" w:type="dxa"/>
              <w:end w:w="100" w:type="dxa"/>
            </w:tcMar>
            <w:vAlign w:val="top"/>
          </w:tcPr>
          <w:p>
            <w:pPr>
              <w:spacing w:after="0" w:line="240" w:lineRule="auto"/>
              <w:keepNext w:val="1"/>
            </w:pPr>
            <w:r>
              <w:rPr>
                <w:sz w:val="15"/>
              </w:rPr>
              <w:t>Competition, food inspection and labelling, federal tax and agricultural programs within their mandates.</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Producers and distributors</w:t>
            </w:r>
          </w:p>
        </w:tc>
        <w:tc>
          <w:tcPr>
            <w:tcW w:type="dxa" w:w="8064"/>
            <w:shd w:fill="F3F4F4"/>
            <w:tcMar>
              <w:top w:w="42" w:type="dxa"/>
              <w:start w:w="100" w:type="dxa"/>
              <w:bottom w:w="42" w:type="dxa"/>
              <w:end w:w="100" w:type="dxa"/>
            </w:tcMar>
            <w:vAlign w:val="top"/>
          </w:tcPr>
          <w:p>
            <w:pPr>
              <w:spacing w:after="0" w:line="240" w:lineRule="auto"/>
              <w:keepNext w:val="1"/>
            </w:pPr>
            <w:r>
              <w:rPr>
                <w:sz w:val="15"/>
              </w:rPr>
              <w:t>Voluntary commercial supply, quality, traceability, delivery and fair contract performance.</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pPr>
            <w:r>
              <w:rPr>
                <w:b/>
                <w:color w:val="2D3436"/>
                <w:sz w:val="15"/>
              </w:rPr>
              <w:t>Private retailers and community organizations</w:t>
            </w:r>
          </w:p>
        </w:tc>
        <w:tc>
          <w:tcPr>
            <w:tcW w:type="dxa" w:w="8064"/>
            <w:shd w:fill="FFFFFF"/>
            <w:tcMar>
              <w:top w:w="42" w:type="dxa"/>
              <w:start w:w="100" w:type="dxa"/>
              <w:bottom w:w="42" w:type="dxa"/>
              <w:end w:w="100" w:type="dxa"/>
            </w:tcMar>
            <w:vAlign w:val="top"/>
          </w:tcPr>
          <w:p>
            <w:pPr>
              <w:spacing w:after="0" w:line="240" w:lineRule="auto"/>
            </w:pPr>
            <w:r>
              <w:rPr>
                <w:sz w:val="15"/>
              </w:rPr>
              <w:t>Continued market participation, referrals, complementary services and evidence about unmet demand.</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728"/>
            <w:shd w:fill="244C5A"/>
            <w:tcMar>
              <w:top w:w="58" w:type="dxa"/>
              <w:start w:w="100" w:type="dxa"/>
              <w:bottom w:w="58" w:type="dxa"/>
              <w:end w:w="100" w:type="dxa"/>
            </w:tcMar>
            <w:vAlign w:val="center"/>
          </w:tcPr>
          <w:p>
            <w:pPr>
              <w:spacing w:after="0"/>
              <w:keepNext w:val="1"/>
            </w:pPr>
            <w:r>
              <w:rPr>
                <w:b/>
                <w:color w:val="FFFFFF"/>
                <w:sz w:val="16"/>
              </w:rPr>
              <w:t>Gate</w:t>
            </w:r>
          </w:p>
        </w:tc>
        <w:tc>
          <w:tcPr>
            <w:tcW w:type="dxa" w:w="8712"/>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Problem</w:t>
            </w:r>
          </w:p>
        </w:tc>
        <w:tc>
          <w:tcPr>
            <w:tcW w:type="dxa" w:w="8712"/>
            <w:shd w:fill="FFFFFF"/>
            <w:tcMar>
              <w:top w:w="42" w:type="dxa"/>
              <w:start w:w="100" w:type="dxa"/>
              <w:bottom w:w="42" w:type="dxa"/>
              <w:end w:w="100" w:type="dxa"/>
            </w:tcMar>
            <w:vAlign w:val="top"/>
          </w:tcPr>
          <w:p>
            <w:pPr>
              <w:spacing w:after="0" w:line="240" w:lineRule="auto"/>
              <w:keepNext w:val="1"/>
            </w:pPr>
            <w:r>
              <w:rPr>
                <w:sz w:val="15"/>
              </w:rPr>
              <w:t>Is the primary gap price, distance, selection, transport, income or emergency access, and is a grocery enterprise the best municipal lever?</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Demand</w:t>
            </w:r>
          </w:p>
        </w:tc>
        <w:tc>
          <w:tcPr>
            <w:tcW w:type="dxa" w:w="8712"/>
            <w:shd w:fill="F3F4F4"/>
            <w:tcMar>
              <w:top w:w="42" w:type="dxa"/>
              <w:start w:w="100" w:type="dxa"/>
              <w:bottom w:w="42" w:type="dxa"/>
              <w:end w:w="100" w:type="dxa"/>
            </w:tcMar>
            <w:vAlign w:val="top"/>
          </w:tcPr>
          <w:p>
            <w:pPr>
              <w:spacing w:after="0" w:line="240" w:lineRule="auto"/>
              <w:keepNext w:val="1"/>
            </w:pPr>
            <w:r>
              <w:rPr>
                <w:sz w:val="15"/>
              </w:rPr>
              <w:t>What weekly basket volume and customer capture are defensible without assuming that every resident will switch retailers?</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Supply</w:t>
            </w:r>
          </w:p>
        </w:tc>
        <w:tc>
          <w:tcPr>
            <w:tcW w:type="dxa" w:w="8712"/>
            <w:shd w:fill="FFFFFF"/>
            <w:tcMar>
              <w:top w:w="42" w:type="dxa"/>
              <w:start w:w="100" w:type="dxa"/>
              <w:bottom w:w="42" w:type="dxa"/>
              <w:end w:w="100" w:type="dxa"/>
            </w:tcMar>
            <w:vAlign w:val="top"/>
          </w:tcPr>
          <w:p>
            <w:pPr>
              <w:spacing w:after="0" w:line="240" w:lineRule="auto"/>
              <w:keepNext w:val="1"/>
            </w:pPr>
            <w:r>
              <w:rPr>
                <w:sz w:val="15"/>
              </w:rPr>
              <w:t>Are wholesale, producer, warehouse and delivery terms binding enough to support the model?</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Law</w:t>
            </w:r>
          </w:p>
        </w:tc>
        <w:tc>
          <w:tcPr>
            <w:tcW w:type="dxa" w:w="8712"/>
            <w:shd w:fill="F3F4F4"/>
            <w:tcMar>
              <w:top w:w="42" w:type="dxa"/>
              <w:start w:w="100" w:type="dxa"/>
              <w:bottom w:w="42" w:type="dxa"/>
              <w:end w:w="100" w:type="dxa"/>
            </w:tcMar>
            <w:vAlign w:val="top"/>
          </w:tcPr>
          <w:p>
            <w:pPr>
              <w:spacing w:after="0" w:line="240" w:lineRule="auto"/>
              <w:keepNext w:val="1"/>
            </w:pPr>
            <w:r>
              <w:rPr>
                <w:sz w:val="15"/>
              </w:rPr>
              <w:t>Are municipal ownership, food operation and any regulated beverage sales authorized in the province?</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Economics</w:t>
            </w:r>
          </w:p>
        </w:tc>
        <w:tc>
          <w:tcPr>
            <w:tcW w:type="dxa" w:w="8712"/>
            <w:shd w:fill="FFFFFF"/>
            <w:tcMar>
              <w:top w:w="42" w:type="dxa"/>
              <w:start w:w="100" w:type="dxa"/>
              <w:bottom w:w="42" w:type="dxa"/>
              <w:end w:w="100" w:type="dxa"/>
            </w:tcMar>
            <w:vAlign w:val="top"/>
          </w:tcPr>
          <w:p>
            <w:pPr>
              <w:spacing w:after="0" w:line="240" w:lineRule="auto"/>
              <w:keepNext w:val="1"/>
            </w:pPr>
            <w:r>
              <w:rPr>
                <w:sz w:val="15"/>
              </w:rPr>
              <w:t>At what basket volume does revenue cover inventory, labour, occupancy, logistics, shrink, debt and renewal reserves?</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pPr>
            <w:r>
              <w:rPr>
                <w:b/>
                <w:color w:val="2D3436"/>
                <w:sz w:val="15"/>
              </w:rPr>
              <w:t>Public value</w:t>
            </w:r>
          </w:p>
        </w:tc>
        <w:tc>
          <w:tcPr>
            <w:tcW w:type="dxa" w:w="8712"/>
            <w:shd w:fill="F3F4F4"/>
            <w:tcMar>
              <w:top w:w="42" w:type="dxa"/>
              <w:start w:w="100" w:type="dxa"/>
              <w:bottom w:w="42" w:type="dxa"/>
              <w:end w:w="100" w:type="dxa"/>
            </w:tcMar>
            <w:vAlign w:val="top"/>
          </w:tcPr>
          <w:p>
            <w:pPr>
              <w:spacing w:after="0" w:line="240" w:lineRule="auto"/>
            </w:pPr>
            <w:r>
              <w:rPr>
                <w:sz w:val="15"/>
              </w:rPr>
              <w:t>What service, access or food-security result justifies municipal exposure if the enterprise does not meet commercial return thresholds?</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736"/>
            <w:shd w:fill="244C5A"/>
            <w:tcMar>
              <w:top w:w="58" w:type="dxa"/>
              <w:start w:w="100" w:type="dxa"/>
              <w:bottom w:w="58" w:type="dxa"/>
              <w:end w:w="100" w:type="dxa"/>
            </w:tcMar>
            <w:vAlign w:val="center"/>
          </w:tcPr>
          <w:p>
            <w:pPr>
              <w:spacing w:after="0"/>
            </w:pPr>
            <w:r>
              <w:rPr>
                <w:b/>
                <w:color w:val="FFFFFF"/>
                <w:sz w:val="16"/>
              </w:rPr>
              <w:t>Measure</w:t>
            </w:r>
          </w:p>
        </w:tc>
        <w:tc>
          <w:tcPr>
            <w:tcW w:type="dxa" w:w="7704"/>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736"/>
            <w:shd w:fill="FFFFFF"/>
            <w:tcMar>
              <w:top w:w="42" w:type="dxa"/>
              <w:start w:w="100" w:type="dxa"/>
              <w:bottom w:w="42" w:type="dxa"/>
              <w:end w:w="100" w:type="dxa"/>
            </w:tcMar>
            <w:vAlign w:val="top"/>
          </w:tcPr>
          <w:p>
            <w:pPr>
              <w:spacing w:after="0" w:line="240" w:lineRule="auto"/>
            </w:pPr>
            <w:r>
              <w:rPr>
                <w:b/>
                <w:color w:val="2D3436"/>
                <w:sz w:val="15"/>
              </w:rPr>
              <w:t>Comparable basket price</w:t>
            </w:r>
          </w:p>
        </w:tc>
        <w:tc>
          <w:tcPr>
            <w:tcW w:type="dxa" w:w="7704"/>
            <w:shd w:fill="FFFFFF"/>
            <w:tcMar>
              <w:top w:w="42" w:type="dxa"/>
              <w:start w:w="100" w:type="dxa"/>
              <w:bottom w:w="42" w:type="dxa"/>
              <w:end w:w="100" w:type="dxa"/>
            </w:tcMar>
            <w:vAlign w:val="top"/>
          </w:tcPr>
          <w:p>
            <w:pPr>
              <w:spacing w:after="0" w:line="240" w:lineRule="auto"/>
            </w:pPr>
            <w:r>
              <w:rPr>
                <w:sz w:val="15"/>
              </w:rPr>
              <w:t>Same products, sizes, taxes, timing and availability across retailers; publish regular price and effective price separately from temporary promotions.</w:t>
            </w:r>
          </w:p>
        </w:tc>
      </w:tr>
      <w:tr>
        <w:trPr>
          <w:cantSplit w:val="true"/>
          <w:trHeight w:hRule="atLeast"/>
        </w:trPr>
        <w:tc>
          <w:tcPr>
            <w:tcW w:type="dxa" w:w="2736"/>
            <w:shd w:fill="F3F4F4"/>
            <w:tcMar>
              <w:top w:w="42" w:type="dxa"/>
              <w:start w:w="100" w:type="dxa"/>
              <w:bottom w:w="42" w:type="dxa"/>
              <w:end w:w="100" w:type="dxa"/>
            </w:tcMar>
            <w:vAlign w:val="top"/>
          </w:tcPr>
          <w:p>
            <w:pPr>
              <w:spacing w:after="0" w:line="240" w:lineRule="auto"/>
            </w:pPr>
            <w:r>
              <w:rPr>
                <w:b/>
                <w:color w:val="2D3436"/>
                <w:sz w:val="15"/>
              </w:rPr>
              <w:t>Access and reach</w:t>
            </w:r>
          </w:p>
        </w:tc>
        <w:tc>
          <w:tcPr>
            <w:tcW w:type="dxa" w:w="7704"/>
            <w:shd w:fill="F3F4F4"/>
            <w:tcMar>
              <w:top w:w="42" w:type="dxa"/>
              <w:start w:w="100" w:type="dxa"/>
              <w:bottom w:w="42" w:type="dxa"/>
              <w:end w:w="100" w:type="dxa"/>
            </w:tcMar>
            <w:vAlign w:val="top"/>
          </w:tcPr>
          <w:p>
            <w:pPr>
              <w:spacing w:after="0" w:line="240" w:lineRule="auto"/>
            </w:pPr>
            <w:r>
              <w:rPr>
                <w:sz w:val="15"/>
              </w:rPr>
              <w:t>Residents or households within the defined travel or delivery standard, plus transactions and repeat use in priority areas.</w:t>
            </w:r>
          </w:p>
        </w:tc>
      </w:tr>
      <w:tr>
        <w:trPr>
          <w:cantSplit w:val="true"/>
          <w:trHeight w:hRule="atLeast"/>
        </w:trPr>
        <w:tc>
          <w:tcPr>
            <w:tcW w:type="dxa" w:w="2736"/>
            <w:shd w:fill="FFFFFF"/>
            <w:tcMar>
              <w:top w:w="42" w:type="dxa"/>
              <w:start w:w="100" w:type="dxa"/>
              <w:bottom w:w="42" w:type="dxa"/>
              <w:end w:w="100" w:type="dxa"/>
            </w:tcMar>
            <w:vAlign w:val="top"/>
          </w:tcPr>
          <w:p>
            <w:pPr>
              <w:spacing w:after="0" w:line="240" w:lineRule="auto"/>
            </w:pPr>
            <w:r>
              <w:rPr>
                <w:b/>
                <w:color w:val="2D3436"/>
                <w:sz w:val="15"/>
              </w:rPr>
              <w:t>Gross margin and operating coverage</w:t>
            </w:r>
          </w:p>
        </w:tc>
        <w:tc>
          <w:tcPr>
            <w:tcW w:type="dxa" w:w="7704"/>
            <w:shd w:fill="FFFFFF"/>
            <w:tcMar>
              <w:top w:w="42" w:type="dxa"/>
              <w:start w:w="100" w:type="dxa"/>
              <w:bottom w:w="42" w:type="dxa"/>
              <w:end w:w="100" w:type="dxa"/>
            </w:tcMar>
            <w:vAlign w:val="top"/>
          </w:tcPr>
          <w:p>
            <w:pPr>
              <w:spacing w:after="0" w:line="240" w:lineRule="auto"/>
            </w:pPr>
            <w:r>
              <w:rPr>
                <w:sz w:val="15"/>
              </w:rPr>
              <w:t>Net sales less cost of goods, then operating revenue against all operating costs, debt service and renewal reserve. Identify grants and subsidy.</w:t>
            </w:r>
          </w:p>
        </w:tc>
      </w:tr>
      <w:tr>
        <w:trPr>
          <w:cantSplit w:val="true"/>
          <w:trHeight w:hRule="atLeast"/>
        </w:trPr>
        <w:tc>
          <w:tcPr>
            <w:tcW w:type="dxa" w:w="2736"/>
            <w:shd w:fill="F3F4F4"/>
            <w:tcMar>
              <w:top w:w="42" w:type="dxa"/>
              <w:start w:w="100" w:type="dxa"/>
              <w:bottom w:w="42" w:type="dxa"/>
              <w:end w:w="100" w:type="dxa"/>
            </w:tcMar>
            <w:vAlign w:val="top"/>
          </w:tcPr>
          <w:p>
            <w:pPr>
              <w:spacing w:after="0" w:line="240" w:lineRule="auto"/>
            </w:pPr>
            <w:r>
              <w:rPr>
                <w:b/>
                <w:color w:val="2D3436"/>
                <w:sz w:val="15"/>
              </w:rPr>
              <w:t>Availability</w:t>
            </w:r>
          </w:p>
        </w:tc>
        <w:tc>
          <w:tcPr>
            <w:tcW w:type="dxa" w:w="7704"/>
            <w:shd w:fill="F3F4F4"/>
            <w:tcMar>
              <w:top w:w="42" w:type="dxa"/>
              <w:start w:w="100" w:type="dxa"/>
              <w:bottom w:w="42" w:type="dxa"/>
              <w:end w:w="100" w:type="dxa"/>
            </w:tcMar>
            <w:vAlign w:val="top"/>
          </w:tcPr>
          <w:p>
            <w:pPr>
              <w:spacing w:after="0" w:line="240" w:lineRule="auto"/>
            </w:pPr>
            <w:r>
              <w:rPr>
                <w:sz w:val="15"/>
              </w:rPr>
              <w:t>Order fill rate, stockout rate, inventory days and substitutions for a defined essential basket.</w:t>
            </w:r>
          </w:p>
        </w:tc>
      </w:tr>
      <w:tr>
        <w:trPr>
          <w:cantSplit w:val="true"/>
          <w:trHeight w:hRule="atLeast"/>
        </w:trPr>
        <w:tc>
          <w:tcPr>
            <w:tcW w:type="dxa" w:w="2736"/>
            <w:shd w:fill="FFFFFF"/>
            <w:tcMar>
              <w:top w:w="42" w:type="dxa"/>
              <w:start w:w="100" w:type="dxa"/>
              <w:bottom w:w="42" w:type="dxa"/>
              <w:end w:w="100" w:type="dxa"/>
            </w:tcMar>
            <w:vAlign w:val="top"/>
          </w:tcPr>
          <w:p>
            <w:pPr>
              <w:spacing w:after="0" w:line="240" w:lineRule="auto"/>
            </w:pPr>
            <w:r>
              <w:rPr>
                <w:b/>
                <w:color w:val="2D3436"/>
                <w:sz w:val="15"/>
              </w:rPr>
              <w:t>Loss and waste</w:t>
            </w:r>
          </w:p>
        </w:tc>
        <w:tc>
          <w:tcPr>
            <w:tcW w:type="dxa" w:w="7704"/>
            <w:shd w:fill="FFFFFF"/>
            <w:tcMar>
              <w:top w:w="42" w:type="dxa"/>
              <w:start w:w="100" w:type="dxa"/>
              <w:bottom w:w="42" w:type="dxa"/>
              <w:end w:w="100" w:type="dxa"/>
            </w:tcMar>
            <w:vAlign w:val="top"/>
          </w:tcPr>
          <w:p>
            <w:pPr>
              <w:spacing w:after="0" w:line="240" w:lineRule="auto"/>
            </w:pPr>
            <w:r>
              <w:rPr>
                <w:sz w:val="15"/>
              </w:rPr>
              <w:t>Shrink and spoilage as a share of purchases, by cause; donated stock is still recorded as inventory cost.</w:t>
            </w:r>
          </w:p>
        </w:tc>
      </w:tr>
      <w:tr>
        <w:trPr>
          <w:cantSplit w:val="true"/>
          <w:trHeight w:hRule="atLeast"/>
        </w:trPr>
        <w:tc>
          <w:tcPr>
            <w:tcW w:type="dxa" w:w="2736"/>
            <w:shd w:fill="F3F4F4"/>
            <w:tcMar>
              <w:top w:w="42" w:type="dxa"/>
              <w:start w:w="100" w:type="dxa"/>
              <w:bottom w:w="42" w:type="dxa"/>
              <w:end w:w="100" w:type="dxa"/>
            </w:tcMar>
            <w:vAlign w:val="top"/>
          </w:tcPr>
          <w:p>
            <w:pPr>
              <w:spacing w:after="0" w:line="240" w:lineRule="auto"/>
            </w:pPr>
            <w:r>
              <w:rPr>
                <w:b/>
                <w:color w:val="2D3436"/>
                <w:sz w:val="15"/>
              </w:rPr>
              <w:t>Local or regional procurement</w:t>
            </w:r>
          </w:p>
        </w:tc>
        <w:tc>
          <w:tcPr>
            <w:tcW w:type="dxa" w:w="7704"/>
            <w:shd w:fill="F3F4F4"/>
            <w:tcMar>
              <w:top w:w="42" w:type="dxa"/>
              <w:start w:w="100" w:type="dxa"/>
              <w:bottom w:w="42" w:type="dxa"/>
              <w:end w:w="100" w:type="dxa"/>
            </w:tcMar>
            <w:vAlign w:val="top"/>
          </w:tcPr>
          <w:p>
            <w:pPr>
              <w:spacing w:after="0" w:line="240" w:lineRule="auto"/>
            </w:pPr>
            <w:r>
              <w:rPr>
                <w:sz w:val="15"/>
              </w:rPr>
              <w:t>Purchases by verified supplier location and product origin; do not label distributor location as food origin.</w:t>
            </w:r>
          </w:p>
        </w:tc>
      </w:tr>
      <w:tr>
        <w:trPr>
          <w:cantSplit w:val="true"/>
          <w:trHeight w:hRule="atLeast"/>
        </w:trPr>
        <w:tc>
          <w:tcPr>
            <w:tcW w:type="dxa" w:w="2736"/>
            <w:shd w:fill="FFFFFF"/>
            <w:tcMar>
              <w:top w:w="42" w:type="dxa"/>
              <w:start w:w="100" w:type="dxa"/>
              <w:bottom w:w="42" w:type="dxa"/>
              <w:end w:w="100" w:type="dxa"/>
            </w:tcMar>
            <w:vAlign w:val="top"/>
          </w:tcPr>
          <w:p>
            <w:pPr>
              <w:spacing w:after="0" w:line="240" w:lineRule="auto"/>
            </w:pPr>
            <w:r>
              <w:rPr>
                <w:b/>
                <w:color w:val="2D3436"/>
                <w:sz w:val="15"/>
              </w:rPr>
              <w:t>Producer terms</w:t>
            </w:r>
          </w:p>
        </w:tc>
        <w:tc>
          <w:tcPr>
            <w:tcW w:type="dxa" w:w="7704"/>
            <w:shd w:fill="FFFFFF"/>
            <w:tcMar>
              <w:top w:w="42" w:type="dxa"/>
              <w:start w:w="100" w:type="dxa"/>
              <w:bottom w:w="42" w:type="dxa"/>
              <w:end w:w="100" w:type="dxa"/>
            </w:tcMar>
            <w:vAlign w:val="top"/>
          </w:tcPr>
          <w:p>
            <w:pPr>
              <w:spacing w:after="0" w:line="240" w:lineRule="auto"/>
            </w:pPr>
            <w:r>
              <w:rPr>
                <w:sz w:val="15"/>
              </w:rPr>
              <w:t>Average payment days, rejection rate and concentration of purchases by supplier.</w:t>
            </w:r>
          </w:p>
        </w:tc>
      </w:tr>
      <w:tr>
        <w:trPr>
          <w:cantSplit w:val="true"/>
          <w:trHeight w:hRule="atLeast"/>
        </w:trPr>
        <w:tc>
          <w:tcPr>
            <w:tcW w:type="dxa" w:w="2736"/>
            <w:shd w:fill="F3F4F4"/>
            <w:tcMar>
              <w:top w:w="42" w:type="dxa"/>
              <w:start w:w="100" w:type="dxa"/>
              <w:bottom w:w="42" w:type="dxa"/>
              <w:end w:w="100" w:type="dxa"/>
            </w:tcMar>
            <w:vAlign w:val="top"/>
          </w:tcPr>
          <w:p>
            <w:pPr>
              <w:spacing w:after="0" w:line="240" w:lineRule="auto"/>
            </w:pPr>
            <w:r>
              <w:rPr>
                <w:b/>
                <w:color w:val="2D3436"/>
                <w:sz w:val="15"/>
              </w:rPr>
              <w:t>Food insecurity</w:t>
            </w:r>
          </w:p>
        </w:tc>
        <w:tc>
          <w:tcPr>
            <w:tcW w:type="dxa" w:w="7704"/>
            <w:shd w:fill="F3F4F4"/>
            <w:tcMar>
              <w:top w:w="42" w:type="dxa"/>
              <w:start w:w="100" w:type="dxa"/>
              <w:bottom w:w="42" w:type="dxa"/>
              <w:end w:w="100" w:type="dxa"/>
            </w:tcMar>
            <w:vAlign w:val="top"/>
          </w:tcPr>
          <w:p>
            <w:pPr>
              <w:spacing w:after="0" w:line="240" w:lineRule="auto"/>
            </w:pPr>
            <w:r>
              <w:rPr>
                <w:sz w:val="15"/>
              </w:rPr>
              <w:t>Use a validated household measure such as the HFSSM at an appropriate population interval; food-bank visits are an operational signal, not a complete prevalence measure.</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The Competition Bureau has documented the value of greater grocery competition and recommended measures to enable entry. Toronto Council has directed work on a four-store municipally operated not-for-profit pilot; this is evidence of an emerging municipal policy experiment, not evidence of its outcome.</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Local basket prices, retailer coverage, customer demand, wholesale terms, producer capacity, food insecurity, logistics cost, facility cost and provincial authority.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Lower basket prices, retained local spending, operating surplus, job creation, farm contracts and reduced chronic food-bank reliance are hypotheses. Publish values only from a dated local model and then compare them with pilot results.</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MGA alone does not eliminate food insecurity, replace income policy, make food banks unnecessary in emergencies, guarantee lower prices, or require the exclusion of private grocers and partners.</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448"/>
            <w:shd w:fill="244C5A"/>
            <w:tcMar>
              <w:top w:w="58" w:type="dxa"/>
              <w:start w:w="100" w:type="dxa"/>
              <w:bottom w:w="58" w:type="dxa"/>
              <w:end w:w="100" w:type="dxa"/>
            </w:tcMar>
            <w:vAlign w:val="center"/>
          </w:tcPr>
          <w:p>
            <w:pPr>
              <w:spacing w:after="0"/>
              <w:keepNext w:val="1"/>
            </w:pPr>
            <w:r>
              <w:rPr>
                <w:b/>
                <w:color w:val="FFFFFF"/>
                <w:sz w:val="16"/>
              </w:rPr>
              <w:t>Risk</w:t>
            </w:r>
          </w:p>
        </w:tc>
        <w:tc>
          <w:tcPr>
            <w:tcW w:type="dxa" w:w="7992"/>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Low volume or weak purchasing terms</w:t>
            </w:r>
          </w:p>
        </w:tc>
        <w:tc>
          <w:tcPr>
            <w:tcW w:type="dxa" w:w="7992"/>
            <w:shd w:fill="FFFFFF"/>
            <w:tcMar>
              <w:top w:w="42" w:type="dxa"/>
              <w:start w:w="100" w:type="dxa"/>
              <w:bottom w:w="42" w:type="dxa"/>
              <w:end w:w="100" w:type="dxa"/>
            </w:tcMar>
            <w:vAlign w:val="top"/>
          </w:tcPr>
          <w:p>
            <w:pPr>
              <w:spacing w:after="0" w:line="240" w:lineRule="auto"/>
              <w:keepNext w:val="1"/>
            </w:pPr>
            <w:r>
              <w:rPr>
                <w:sz w:val="15"/>
              </w:rPr>
              <w:t>Binding supplier quotes, conservative capture rates and staged formats before a large facility.</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Political pricing</w:t>
            </w:r>
          </w:p>
        </w:tc>
        <w:tc>
          <w:tcPr>
            <w:tcW w:type="dxa" w:w="7992"/>
            <w:shd w:fill="F3F4F4"/>
            <w:tcMar>
              <w:top w:w="42" w:type="dxa"/>
              <w:start w:w="100" w:type="dxa"/>
              <w:bottom w:w="42" w:type="dxa"/>
              <w:end w:w="100" w:type="dxa"/>
            </w:tcMar>
            <w:vAlign w:val="top"/>
          </w:tcPr>
          <w:p>
            <w:pPr>
              <w:spacing w:after="0" w:line="240" w:lineRule="auto"/>
              <w:keepNext w:val="1"/>
            </w:pPr>
            <w:r>
              <w:rPr>
                <w:sz w:val="15"/>
              </w:rPr>
              <w:t>Board-approved pricing policy, monthly margin reporting and explicit appropriations for social discounts.</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Hidden cross-subsidy</w:t>
            </w:r>
          </w:p>
        </w:tc>
        <w:tc>
          <w:tcPr>
            <w:tcW w:type="dxa" w:w="7992"/>
            <w:shd w:fill="FFFFFF"/>
            <w:tcMar>
              <w:top w:w="42" w:type="dxa"/>
              <w:start w:w="100" w:type="dxa"/>
              <w:bottom w:w="42" w:type="dxa"/>
              <w:end w:w="100" w:type="dxa"/>
            </w:tcMar>
            <w:vAlign w:val="top"/>
          </w:tcPr>
          <w:p>
            <w:pPr>
              <w:spacing w:after="0" w:line="240" w:lineRule="auto"/>
              <w:keepNext w:val="1"/>
            </w:pPr>
            <w:r>
              <w:rPr>
                <w:sz w:val="15"/>
              </w:rPr>
              <w:t>Arm’s-length charges for rent, transport, fuel, energy, staff and municipal services.</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Food loss or safety failure</w:t>
            </w:r>
          </w:p>
        </w:tc>
        <w:tc>
          <w:tcPr>
            <w:tcW w:type="dxa" w:w="7992"/>
            <w:shd w:fill="F3F4F4"/>
            <w:tcMar>
              <w:top w:w="42" w:type="dxa"/>
              <w:start w:w="100" w:type="dxa"/>
              <w:bottom w:w="42" w:type="dxa"/>
              <w:end w:w="100" w:type="dxa"/>
            </w:tcMar>
            <w:vAlign w:val="top"/>
          </w:tcPr>
          <w:p>
            <w:pPr>
              <w:spacing w:after="0" w:line="240" w:lineRule="auto"/>
              <w:keepNext w:val="1"/>
            </w:pPr>
            <w:r>
              <w:rPr>
                <w:sz w:val="15"/>
              </w:rPr>
              <w:t>Certified systems, temperature monitoring, recall protocol, insurance and independent inspection.</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Producer dependence</w:t>
            </w:r>
          </w:p>
        </w:tc>
        <w:tc>
          <w:tcPr>
            <w:tcW w:type="dxa" w:w="7992"/>
            <w:shd w:fill="FFFFFF"/>
            <w:tcMar>
              <w:top w:w="42" w:type="dxa"/>
              <w:start w:w="100" w:type="dxa"/>
              <w:bottom w:w="42" w:type="dxa"/>
              <w:end w:w="100" w:type="dxa"/>
            </w:tcMar>
            <w:vAlign w:val="top"/>
          </w:tcPr>
          <w:p>
            <w:pPr>
              <w:spacing w:after="0" w:line="240" w:lineRule="auto"/>
              <w:keepNext w:val="1"/>
            </w:pPr>
            <w:r>
              <w:rPr>
                <w:sz w:val="15"/>
              </w:rPr>
              <w:t>Fair contracts, payment standards, diversified suppliers and no compulsory exclusivity.</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pPr>
            <w:r>
              <w:rPr>
                <w:b/>
                <w:color w:val="2D3436"/>
                <w:sz w:val="15"/>
              </w:rPr>
              <w:t>Regulated-product harm</w:t>
            </w:r>
          </w:p>
        </w:tc>
        <w:tc>
          <w:tcPr>
            <w:tcW w:type="dxa" w:w="7992"/>
            <w:shd w:fill="F3F4F4"/>
            <w:tcMar>
              <w:top w:w="42" w:type="dxa"/>
              <w:start w:w="100" w:type="dxa"/>
              <w:bottom w:w="42" w:type="dxa"/>
              <w:end w:w="100" w:type="dxa"/>
            </w:tcMar>
            <w:vAlign w:val="top"/>
          </w:tcPr>
          <w:p>
            <w:pPr>
              <w:spacing w:after="0" w:line="240" w:lineRule="auto"/>
            </w:pPr>
            <w:r>
              <w:rPr>
                <w:sz w:val="15"/>
              </w:rPr>
              <w:t>Do not include alcohol or other regulated products unless lawful; use separate licensing, staff training, harm controls and accounts.</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G1  </w:t>
      </w:r>
      <w:hyperlink r:id="rId15">
        <w:r>
          <w:rPr>
            <w:color w:val="244C5A"/>
            <w:u w:val="single"/>
            <w:rFonts w:ascii="Aptos" w:hAnsi="Aptos"/>
          </w:rPr>
          <w:t>Competition Bureau Retail Grocery Market Study</w:t>
        </w:r>
      </w:hyperlink>
      <w:r>
        <w:t xml:space="preserve"> — Supports the public-interest case for greater competition; it does not establish municipal-store economics.</w:t>
      </w:r>
    </w:p>
    <w:p>
      <w:pPr>
        <w:pStyle w:val="Source"/>
      </w:pPr>
      <w:r>
        <w:rPr>
          <w:b/>
        </w:rPr>
        <w:t xml:space="preserve">G2  </w:t>
      </w:r>
      <w:hyperlink r:id="rId16">
        <w:r>
          <w:rPr>
            <w:color w:val="244C5A"/>
            <w:u w:val="single"/>
            <w:rFonts w:ascii="Aptos" w:hAnsi="Aptos"/>
          </w:rPr>
          <w:t>Competition Bureau Canada Needs More Grocery Competition</w:t>
        </w:r>
      </w:hyperlink>
      <w:r>
        <w:t xml:space="preserve"> — Policy findings and recommendations.</w:t>
      </w:r>
    </w:p>
    <w:p>
      <w:pPr>
        <w:pStyle w:val="Source"/>
      </w:pPr>
      <w:r>
        <w:rPr>
          <w:b/>
        </w:rPr>
        <w:t xml:space="preserve">G3  </w:t>
      </w:r>
      <w:hyperlink r:id="rId17">
        <w:r>
          <w:rPr>
            <w:color w:val="244C5A"/>
            <w:u w:val="single"/>
            <w:rFonts w:ascii="Aptos" w:hAnsi="Aptos"/>
          </w:rPr>
          <w:t>Toronto Council item MM39.27</w:t>
        </w:r>
      </w:hyperlink>
      <w:r>
        <w:t xml:space="preserve"> — Adopted direction for a municipally operated not-for-profit grocery pilot; outcomes remain pending.</w:t>
      </w:r>
    </w:p>
    <w:p>
      <w:pPr>
        <w:pStyle w:val="Source"/>
      </w:pPr>
      <w:r>
        <w:rPr>
          <w:b/>
        </w:rPr>
        <w:t xml:space="preserve">G4  </w:t>
      </w:r>
      <w:hyperlink r:id="rId18">
        <w:r>
          <w:rPr>
            <w:color w:val="244C5A"/>
            <w:u w:val="single"/>
            <w:rFonts w:ascii="Aptos" w:hAnsi="Aptos"/>
          </w:rPr>
          <w:t>Health Canada Household Food Security Survey Module</w:t>
        </w:r>
      </w:hyperlink>
      <w:r>
        <w:t xml:space="preserve"> — Validated household food-security measurement tool.</w:t>
      </w:r>
    </w:p>
    <w:p>
      <w:r>
        <w:br w:type="page"/>
      </w:r>
    </w:p>
    <w:p>
      <w:pPr>
        <w:pStyle w:val="Kicker"/>
        <w:keepNext w:val="1"/>
        <w:keepLines w:val="1"/>
      </w:pPr>
      <w:r>
        <w:t>AUTONOMY 03  |  SUGGESTED SLUG /FUEL-AUTONOMY</w:t>
      </w:r>
    </w:p>
    <w:p>
      <w:pPr>
        <w:pStyle w:val="TitlePage"/>
        <w:keepNext w:val="1"/>
        <w:keepLines w:val="1"/>
      </w:pPr>
      <w:bookmarkStart w:id="134543" w:name="fuel"/>
      <w:bookmarkEnd w:id="134543"/>
      <w:r>
        <w:t>Fuel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Fuel Autonomy is the municipal capacity to aggregate demand and, where lawful and viable, procure, store and distribute the liquid or gaseous fuels used by municipal fleets, residents, farms and businesses.</w:t>
            </w:r>
          </w:p>
        </w:tc>
      </w:tr>
    </w:tbl>
    <w:p>
      <w:pPr>
        <w:spacing w:after="0"/>
      </w:pPr>
    </w:p>
    <w:p>
      <w:pPr>
        <w:pStyle w:val="Heading1"/>
        <w:keepNext w:val="1"/>
        <w:keepLines w:val="1"/>
      </w:pPr>
      <w:r>
        <w:t>Why this component exists</w:t>
      </w:r>
    </w:p>
    <w:p>
      <w:pPr>
        <w:pStyle w:val="BodyText"/>
      </w:pPr>
      <w:r>
        <w:t>Fuel is separated from Energy because the assets, hazards, taxes, suppliers, regulations and cost drivers are different. Fuel Autonomy addresses physical fuels and their supply chain. Electricity procurement, generation, storage and charging infrastructure belong primarily to Energy Autonomy, with fleet use coordinated through Transportation.</w:t>
      </w:r>
    </w:p>
    <w:p>
      <w:pPr>
        <w:pStyle w:val="BodyText"/>
      </w:pPr>
      <w:r>
        <w:t>The municipal rationale is strongest where a community faces a demonstrable supply gap, high delivered cost, unreliable availability, emergency dependence or fragmented public and agricultural demand. Aggregation may improve contract terms or logistics, but wholesale price, tax, transportation and retail volume can overwhelm that advantage. A municipal outlet is therefore an option to compare, not a default project or a guarantee of cheaper fuel.</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Demand aggregation</w:t>
            </w:r>
          </w:p>
        </w:tc>
        <w:tc>
          <w:tcPr>
            <w:tcW w:type="dxa" w:w="7560"/>
            <w:shd w:fill="FFFFFF"/>
            <w:tcMar>
              <w:top w:w="68" w:type="dxa"/>
              <w:start w:w="100" w:type="dxa"/>
              <w:bottom w:w="68" w:type="dxa"/>
              <w:end w:w="100" w:type="dxa"/>
            </w:tcMar>
            <w:vAlign w:val="top"/>
          </w:tcPr>
          <w:p>
            <w:pPr>
              <w:spacing w:after="0" w:line="240" w:lineRule="auto"/>
              <w:keepNext w:val="1"/>
            </w:pPr>
            <w:r>
              <w:rPr>
                <w:sz w:val="17"/>
              </w:rPr>
              <w:t>Municipal fleets, transit, emergency services and voluntary farm or commercial demand grouped for procurement analysis.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Supply arrangements</w:t>
            </w:r>
          </w:p>
        </w:tc>
        <w:tc>
          <w:tcPr>
            <w:tcW w:type="dxa" w:w="7560"/>
            <w:shd w:fill="F3F4F4"/>
            <w:tcMar>
              <w:top w:w="68" w:type="dxa"/>
              <w:start w:w="100" w:type="dxa"/>
              <w:bottom w:w="68" w:type="dxa"/>
              <w:end w:w="100" w:type="dxa"/>
            </w:tcMar>
            <w:vAlign w:val="top"/>
          </w:tcPr>
          <w:p>
            <w:pPr>
              <w:spacing w:after="0" w:line="240" w:lineRule="auto"/>
              <w:keepNext w:val="1"/>
            </w:pPr>
            <w:r>
              <w:rPr>
                <w:sz w:val="17"/>
              </w:rPr>
              <w:t>Bulk contracts, cardlock access, fleet depots, shared storage, backup supply or a public retail outlet where lawful and economically defensible.</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Fuel types</w:t>
            </w:r>
          </w:p>
        </w:tc>
        <w:tc>
          <w:tcPr>
            <w:tcW w:type="dxa" w:w="7560"/>
            <w:shd w:fill="FFFFFF"/>
            <w:tcMar>
              <w:top w:w="68" w:type="dxa"/>
              <w:start w:w="100" w:type="dxa"/>
              <w:bottom w:w="68" w:type="dxa"/>
              <w:end w:w="100" w:type="dxa"/>
            </w:tcMar>
            <w:vAlign w:val="top"/>
          </w:tcPr>
          <w:p>
            <w:pPr>
              <w:spacing w:after="0" w:line="240" w:lineRule="auto"/>
              <w:keepNext w:val="1"/>
            </w:pPr>
            <w:r>
              <w:rPr>
                <w:sz w:val="17"/>
              </w:rPr>
              <w:t>Gasoline, diesel, propane, renewable or lower-carbon fuels and other locally relevant fuels, with a separate safety and demand case for each.</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Emergency resilience</w:t>
            </w:r>
          </w:p>
        </w:tc>
        <w:tc>
          <w:tcPr>
            <w:tcW w:type="dxa" w:w="7560"/>
            <w:shd w:fill="F3F4F4"/>
            <w:tcMar>
              <w:top w:w="68" w:type="dxa"/>
              <w:start w:w="100" w:type="dxa"/>
              <w:bottom w:w="68" w:type="dxa"/>
              <w:end w:w="100" w:type="dxa"/>
            </w:tcMar>
            <w:vAlign w:val="top"/>
          </w:tcPr>
          <w:p>
            <w:pPr>
              <w:spacing w:after="0" w:line="240" w:lineRule="auto"/>
              <w:keepNext w:val="1"/>
            </w:pPr>
            <w:r>
              <w:rPr>
                <w:sz w:val="17"/>
              </w:rPr>
              <w:t>Minimum stock, alternate supplier and priority-allocation plans consistent with safety and emergency law.</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Electric charging</w:t>
            </w:r>
          </w:p>
        </w:tc>
        <w:tc>
          <w:tcPr>
            <w:tcW w:type="dxa" w:w="7560"/>
            <w:shd w:fill="FFFFFF"/>
            <w:tcMar>
              <w:top w:w="68" w:type="dxa"/>
              <w:start w:w="100" w:type="dxa"/>
              <w:bottom w:w="68" w:type="dxa"/>
              <w:end w:w="100" w:type="dxa"/>
            </w:tcMar>
            <w:vAlign w:val="top"/>
          </w:tcPr>
          <w:p>
            <w:pPr>
              <w:spacing w:after="0" w:line="240" w:lineRule="auto"/>
              <w:keepNext w:val="1"/>
            </w:pPr>
            <w:r>
              <w:rPr>
                <w:sz w:val="17"/>
              </w:rPr>
              <w:t>Charging demand is coordinated with Transportation, but electricity assets, tariffs and storage are reported under Energy.</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Prohibited premise</w:t>
            </w:r>
          </w:p>
        </w:tc>
        <w:tc>
          <w:tcPr>
            <w:tcW w:type="dxa" w:w="7560"/>
            <w:shd w:fill="F3F4F4"/>
            <w:tcMar>
              <w:top w:w="68" w:type="dxa"/>
              <w:start w:w="100" w:type="dxa"/>
              <w:bottom w:w="68" w:type="dxa"/>
              <w:end w:w="100" w:type="dxa"/>
            </w:tcMar>
            <w:vAlign w:val="top"/>
          </w:tcPr>
          <w:p>
            <w:pPr>
              <w:spacing w:after="0" w:line="240" w:lineRule="auto"/>
            </w:pPr>
            <w:r>
              <w:rPr>
                <w:sz w:val="17"/>
              </w:rPr>
              <w:t>No bypass of fuel taxes, price regulation, environmental approvals or storage standards; no below-cost public retail without an explicit appropriation and purpose.</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Map annual and seasonal volume by fuel, user, location and criticality; separate committed municipal use from uncommitted public demand.</w:t>
      </w:r>
    </w:p>
    <w:p>
      <w:pPr>
        <w:pStyle w:val="BodyText"/>
        <w:ind w:left="432" w:hanging="317"/>
        <w:keepLines w:val="1"/>
      </w:pPr>
      <w:r>
        <w:rPr>
          <w:b/>
        </w:rPr>
        <w:t xml:space="preserve">2.  </w:t>
      </w:r>
      <w:r>
        <w:t>Construct the delivered-cost stack: wholesale benchmark, freight, storage, losses, card fees, labour, insurance, taxes, compliance, capital and renewal.</w:t>
      </w:r>
    </w:p>
    <w:p>
      <w:pPr>
        <w:pStyle w:val="BodyText"/>
        <w:ind w:left="432" w:hanging="317"/>
        <w:keepLines w:val="1"/>
      </w:pPr>
      <w:r>
        <w:rPr>
          <w:b/>
        </w:rPr>
        <w:t xml:space="preserve">3.  </w:t>
      </w:r>
      <w:r>
        <w:t>Compare procurement-only, private supply agreement, shared depot, cardlock and public retail options, including the no-build case.</w:t>
      </w:r>
    </w:p>
    <w:p>
      <w:pPr>
        <w:pStyle w:val="BodyText"/>
        <w:ind w:left="432" w:hanging="317"/>
        <w:keepLines w:val="1"/>
      </w:pPr>
      <w:r>
        <w:rPr>
          <w:b/>
        </w:rPr>
        <w:t xml:space="preserve">4.  </w:t>
      </w:r>
      <w:r>
        <w:t>Complete land, contamination, fire, spill, traffic, security, insurance and decommissioning reviews before acquiring or converting a site.</w:t>
      </w:r>
    </w:p>
    <w:p>
      <w:pPr>
        <w:pStyle w:val="BodyText"/>
        <w:ind w:left="432" w:hanging="317"/>
        <w:keepLines w:val="1"/>
      </w:pPr>
      <w:r>
        <w:rPr>
          <w:b/>
        </w:rPr>
        <w:t xml:space="preserve">5.  </w:t>
      </w:r>
      <w:r>
        <w:t>Secure binding volume and supplier terms, then pilot the least-capital option that tests price and reliability assumptions.</w:t>
      </w:r>
    </w:p>
    <w:p>
      <w:pPr>
        <w:pStyle w:val="BodyText"/>
        <w:ind w:left="432" w:hanging="317"/>
        <w:keepLines w:val="1"/>
      </w:pPr>
      <w:r>
        <w:rPr>
          <w:b/>
        </w:rPr>
        <w:t xml:space="preserve">6.  </w:t>
      </w:r>
      <w:r>
        <w:t>Publish benchmark-adjusted cost, subsidy, safety and availability results; scale only if the business case survives volume and price sensitivity.</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keepNext w:val="1"/>
            </w:pPr>
            <w:r>
              <w:rPr>
                <w:b/>
                <w:color w:val="FFFFFF"/>
                <w:sz w:val="16"/>
              </w:rPr>
              <w:t>Connection</w:t>
            </w:r>
          </w:p>
        </w:tc>
        <w:tc>
          <w:tcPr>
            <w:tcW w:type="dxa" w:w="7920"/>
            <w:shd w:fill="244C5A"/>
            <w:tcMar>
              <w:top w:w="58" w:type="dxa"/>
              <w:start w:w="100" w:type="dxa"/>
              <w:bottom w:w="58" w:type="dxa"/>
              <w:end w:w="100" w:type="dxa"/>
            </w:tcMar>
            <w:vAlign w:val="center"/>
          </w:tcPr>
          <w:p>
            <w:pPr>
              <w:spacing w:after="0"/>
              <w:keepNext w:val="1"/>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Transportation</w:t>
            </w:r>
          </w:p>
        </w:tc>
        <w:tc>
          <w:tcPr>
            <w:tcW w:type="dxa" w:w="7920"/>
            <w:shd w:fill="FFFFFF"/>
            <w:tcMar>
              <w:top w:w="42" w:type="dxa"/>
              <w:start w:w="100" w:type="dxa"/>
              <w:bottom w:w="42" w:type="dxa"/>
              <w:end w:w="100" w:type="dxa"/>
            </w:tcMar>
            <w:vAlign w:val="top"/>
          </w:tcPr>
          <w:p>
            <w:pPr>
              <w:spacing w:after="0" w:line="240" w:lineRule="auto"/>
              <w:keepNext w:val="1"/>
            </w:pPr>
            <w:r>
              <w:rPr>
                <w:sz w:val="15"/>
              </w:rPr>
              <w:t>Transit, municipal fleets and accessible services supply anchor demand and require continuity during emergencies.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Municipal Grocery</w:t>
            </w:r>
          </w:p>
        </w:tc>
        <w:tc>
          <w:tcPr>
            <w:tcW w:type="dxa" w:w="7920"/>
            <w:shd w:fill="F3F4F4"/>
            <w:tcMar>
              <w:top w:w="42" w:type="dxa"/>
              <w:start w:w="100" w:type="dxa"/>
              <w:bottom w:w="42" w:type="dxa"/>
              <w:end w:w="100" w:type="dxa"/>
            </w:tcMar>
            <w:vAlign w:val="top"/>
          </w:tcPr>
          <w:p>
            <w:pPr>
              <w:spacing w:after="0" w:line="240" w:lineRule="auto"/>
              <w:keepNext w:val="1"/>
            </w:pPr>
            <w:r>
              <w:rPr>
                <w:sz w:val="15"/>
              </w:rPr>
              <w:t>Producer and delivery logistics use fuel, but inter-enterprise pricing must be transparent.</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Resource Development</w:t>
            </w:r>
          </w:p>
        </w:tc>
        <w:tc>
          <w:tcPr>
            <w:tcW w:type="dxa" w:w="7920"/>
            <w:shd w:fill="FFFFFF"/>
            <w:tcMar>
              <w:top w:w="42" w:type="dxa"/>
              <w:start w:w="100" w:type="dxa"/>
              <w:bottom w:w="42" w:type="dxa"/>
              <w:end w:w="100" w:type="dxa"/>
            </w:tcMar>
            <w:vAlign w:val="top"/>
          </w:tcPr>
          <w:p>
            <w:pPr>
              <w:spacing w:after="0" w:line="240" w:lineRule="auto"/>
              <w:keepNext w:val="1"/>
            </w:pPr>
            <w:r>
              <w:rPr>
                <w:sz w:val="15"/>
              </w:rPr>
              <w:t>Construction, agriculture and resource activity affect demand, storage locations and environmental risk.</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Energy</w:t>
            </w:r>
          </w:p>
        </w:tc>
        <w:tc>
          <w:tcPr>
            <w:tcW w:type="dxa" w:w="7920"/>
            <w:shd w:fill="F3F4F4"/>
            <w:tcMar>
              <w:top w:w="42" w:type="dxa"/>
              <w:start w:w="100" w:type="dxa"/>
              <w:bottom w:w="42" w:type="dxa"/>
              <w:end w:w="100" w:type="dxa"/>
            </w:tcMar>
            <w:vAlign w:val="top"/>
          </w:tcPr>
          <w:p>
            <w:pPr>
              <w:spacing w:after="0" w:line="240" w:lineRule="auto"/>
              <w:keepNext w:val="1"/>
            </w:pPr>
            <w:r>
              <w:rPr>
                <w:sz w:val="15"/>
              </w:rPr>
              <w:t>Fleet transition scenarios compare fuel with electricity or other energy carriers on total cost and infrastructure timing.</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Workforce &amp; Skills</w:t>
            </w:r>
          </w:p>
        </w:tc>
        <w:tc>
          <w:tcPr>
            <w:tcW w:type="dxa" w:w="7920"/>
            <w:shd w:fill="FFFFFF"/>
            <w:tcMar>
              <w:top w:w="42" w:type="dxa"/>
              <w:start w:w="100" w:type="dxa"/>
              <w:bottom w:w="42" w:type="dxa"/>
              <w:end w:w="100" w:type="dxa"/>
            </w:tcMar>
            <w:vAlign w:val="top"/>
          </w:tcPr>
          <w:p>
            <w:pPr>
              <w:spacing w:after="0" w:line="240" w:lineRule="auto"/>
              <w:keepNext w:val="1"/>
            </w:pPr>
            <w:r>
              <w:rPr>
                <w:sz w:val="15"/>
              </w:rPr>
              <w:t>Operators need hazardous-material, mechanical, transport and emergency qualifications.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Digital &amp; Communications</w:t>
            </w:r>
          </w:p>
        </w:tc>
        <w:tc>
          <w:tcPr>
            <w:tcW w:type="dxa" w:w="7920"/>
            <w:shd w:fill="F3F4F4"/>
            <w:tcMar>
              <w:top w:w="42" w:type="dxa"/>
              <w:start w:w="100" w:type="dxa"/>
              <w:bottom w:w="42" w:type="dxa"/>
              <w:end w:w="100" w:type="dxa"/>
            </w:tcMar>
            <w:vAlign w:val="top"/>
          </w:tcPr>
          <w:p>
            <w:pPr>
              <w:spacing w:after="0" w:line="240" w:lineRule="auto"/>
            </w:pPr>
            <w:r>
              <w:rPr>
                <w:sz w:val="15"/>
              </w:rPr>
              <w:t>Inventory, dispensing, payments, price reporting and emergency dispatch need secure connectivity.</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04"/>
            <w:shd w:fill="244C5A"/>
            <w:tcMar>
              <w:top w:w="58" w:type="dxa"/>
              <w:start w:w="100" w:type="dxa"/>
              <w:bottom w:w="58" w:type="dxa"/>
              <w:end w:w="100" w:type="dxa"/>
            </w:tcMar>
            <w:vAlign w:val="center"/>
          </w:tcPr>
          <w:p>
            <w:pPr>
              <w:spacing w:after="0"/>
              <w:keepNext w:val="1"/>
            </w:pPr>
            <w:r>
              <w:rPr>
                <w:b/>
                <w:color w:val="FFFFFF"/>
                <w:sz w:val="16"/>
              </w:rPr>
              <w:t>Actor</w:t>
            </w:r>
          </w:p>
        </w:tc>
        <w:tc>
          <w:tcPr>
            <w:tcW w:type="dxa" w:w="8136"/>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304"/>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136"/>
            <w:shd w:fill="FFFFFF"/>
            <w:tcMar>
              <w:top w:w="42" w:type="dxa"/>
              <w:start w:w="100" w:type="dxa"/>
              <w:bottom w:w="42" w:type="dxa"/>
              <w:end w:w="100" w:type="dxa"/>
            </w:tcMar>
            <w:vAlign w:val="top"/>
          </w:tcPr>
          <w:p>
            <w:pPr>
              <w:spacing w:after="0" w:line="240" w:lineRule="auto"/>
              <w:keepNext w:val="1"/>
            </w:pPr>
            <w:r>
              <w:rPr>
                <w:sz w:val="15"/>
              </w:rPr>
              <w:t>Fleet procurement, site and land-use decisions, emergency planning, business-case approval and governance within provincial authority.</w:t>
            </w:r>
          </w:p>
        </w:tc>
      </w:tr>
      <w:tr>
        <w:trPr>
          <w:cantSplit w:val="true"/>
          <w:trHeight w:hRule="atLeast"/>
        </w:trPr>
        <w:tc>
          <w:tcPr>
            <w:tcW w:type="dxa" w:w="2304"/>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136"/>
            <w:shd w:fill="F3F4F4"/>
            <w:tcMar>
              <w:top w:w="42" w:type="dxa"/>
              <w:start w:w="100" w:type="dxa"/>
              <w:bottom w:w="42" w:type="dxa"/>
              <w:end w:w="100" w:type="dxa"/>
            </w:tcMar>
            <w:vAlign w:val="top"/>
          </w:tcPr>
          <w:p>
            <w:pPr>
              <w:spacing w:after="0" w:line="240" w:lineRule="auto"/>
              <w:keepNext w:val="1"/>
            </w:pPr>
            <w:r>
              <w:rPr>
                <w:sz w:val="15"/>
              </w:rPr>
              <w:t>Municipal powers, petroleum retail or price rules where applicable, storage, fire, environmental, transport and occupational regulation.</w:t>
            </w:r>
          </w:p>
        </w:tc>
      </w:tr>
      <w:tr>
        <w:trPr>
          <w:cantSplit w:val="true"/>
          <w:trHeight w:hRule="atLeast"/>
        </w:trPr>
        <w:tc>
          <w:tcPr>
            <w:tcW w:type="dxa" w:w="2304"/>
            <w:shd w:fill="FFFFFF"/>
            <w:tcMar>
              <w:top w:w="42" w:type="dxa"/>
              <w:start w:w="100" w:type="dxa"/>
              <w:bottom w:w="42" w:type="dxa"/>
              <w:end w:w="100" w:type="dxa"/>
            </w:tcMar>
            <w:vAlign w:val="top"/>
          </w:tcPr>
          <w:p>
            <w:pPr>
              <w:spacing w:after="0" w:line="240" w:lineRule="auto"/>
              <w:keepNext w:val="1"/>
            </w:pPr>
            <w:r>
              <w:rPr>
                <w:b/>
                <w:color w:val="2D3436"/>
                <w:sz w:val="15"/>
              </w:rPr>
              <w:t>Federal government</w:t>
            </w:r>
          </w:p>
        </w:tc>
        <w:tc>
          <w:tcPr>
            <w:tcW w:type="dxa" w:w="8136"/>
            <w:shd w:fill="FFFFFF"/>
            <w:tcMar>
              <w:top w:w="42" w:type="dxa"/>
              <w:start w:w="100" w:type="dxa"/>
              <w:bottom w:w="42" w:type="dxa"/>
              <w:end w:w="100" w:type="dxa"/>
            </w:tcMar>
            <w:vAlign w:val="top"/>
          </w:tcPr>
          <w:p>
            <w:pPr>
              <w:spacing w:after="0" w:line="240" w:lineRule="auto"/>
              <w:keepNext w:val="1"/>
            </w:pPr>
            <w:r>
              <w:rPr>
                <w:sz w:val="15"/>
              </w:rPr>
              <w:t>Competition, federal taxes, dangerous-goods and environmental responsibilities within federal jurisdiction.</w:t>
            </w:r>
          </w:p>
        </w:tc>
      </w:tr>
      <w:tr>
        <w:trPr>
          <w:cantSplit w:val="true"/>
          <w:trHeight w:hRule="atLeast"/>
        </w:trPr>
        <w:tc>
          <w:tcPr>
            <w:tcW w:type="dxa" w:w="2304"/>
            <w:shd w:fill="F3F4F4"/>
            <w:tcMar>
              <w:top w:w="42" w:type="dxa"/>
              <w:start w:w="100" w:type="dxa"/>
              <w:bottom w:w="42" w:type="dxa"/>
              <w:end w:w="100" w:type="dxa"/>
            </w:tcMar>
            <w:vAlign w:val="top"/>
          </w:tcPr>
          <w:p>
            <w:pPr>
              <w:spacing w:after="0" w:line="240" w:lineRule="auto"/>
              <w:keepNext w:val="1"/>
            </w:pPr>
            <w:r>
              <w:rPr>
                <w:b/>
                <w:color w:val="2D3436"/>
                <w:sz w:val="15"/>
              </w:rPr>
              <w:t>Suppliers and operators</w:t>
            </w:r>
          </w:p>
        </w:tc>
        <w:tc>
          <w:tcPr>
            <w:tcW w:type="dxa" w:w="8136"/>
            <w:shd w:fill="F3F4F4"/>
            <w:tcMar>
              <w:top w:w="42" w:type="dxa"/>
              <w:start w:w="100" w:type="dxa"/>
              <w:bottom w:w="42" w:type="dxa"/>
              <w:end w:w="100" w:type="dxa"/>
            </w:tcMar>
            <w:vAlign w:val="top"/>
          </w:tcPr>
          <w:p>
            <w:pPr>
              <w:spacing w:after="0" w:line="240" w:lineRule="auto"/>
              <w:keepNext w:val="1"/>
            </w:pPr>
            <w:r>
              <w:rPr>
                <w:sz w:val="15"/>
              </w:rPr>
              <w:t>Wholesale supply, delivery, equipment, calibration, safe operations, maintenance, training and insurance.</w:t>
            </w:r>
          </w:p>
        </w:tc>
      </w:tr>
      <w:tr>
        <w:trPr>
          <w:cantSplit w:val="true"/>
          <w:trHeight w:hRule="atLeast"/>
        </w:trPr>
        <w:tc>
          <w:tcPr>
            <w:tcW w:type="dxa" w:w="2304"/>
            <w:shd w:fill="FFFFFF"/>
            <w:tcMar>
              <w:top w:w="42" w:type="dxa"/>
              <w:start w:w="100" w:type="dxa"/>
              <w:bottom w:w="42" w:type="dxa"/>
              <w:end w:w="100" w:type="dxa"/>
            </w:tcMar>
            <w:vAlign w:val="top"/>
          </w:tcPr>
          <w:p>
            <w:pPr>
              <w:spacing w:after="0" w:line="240" w:lineRule="auto"/>
            </w:pPr>
            <w:r>
              <w:rPr>
                <w:b/>
                <w:color w:val="2D3436"/>
                <w:sz w:val="15"/>
              </w:rPr>
              <w:t>Farms, businesses and residents</w:t>
            </w:r>
          </w:p>
        </w:tc>
        <w:tc>
          <w:tcPr>
            <w:tcW w:type="dxa" w:w="8136"/>
            <w:shd w:fill="FFFFFF"/>
            <w:tcMar>
              <w:top w:w="42" w:type="dxa"/>
              <w:start w:w="100" w:type="dxa"/>
              <w:bottom w:w="42" w:type="dxa"/>
              <w:end w:w="100" w:type="dxa"/>
            </w:tcMar>
            <w:vAlign w:val="top"/>
          </w:tcPr>
          <w:p>
            <w:pPr>
              <w:spacing w:after="0" w:line="240" w:lineRule="auto"/>
            </w:pPr>
            <w:r>
              <w:rPr>
                <w:sz w:val="15"/>
              </w:rPr>
              <w:t>Voluntary demand commitments and customer use; no volume should be assumed without evidence.</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728"/>
            <w:shd w:fill="244C5A"/>
            <w:tcMar>
              <w:top w:w="58" w:type="dxa"/>
              <w:start w:w="100" w:type="dxa"/>
              <w:bottom w:w="58" w:type="dxa"/>
              <w:end w:w="100" w:type="dxa"/>
            </w:tcMar>
            <w:vAlign w:val="center"/>
          </w:tcPr>
          <w:p>
            <w:pPr>
              <w:spacing w:after="0"/>
              <w:keepNext w:val="1"/>
            </w:pPr>
            <w:r>
              <w:rPr>
                <w:b/>
                <w:color w:val="FFFFFF"/>
                <w:sz w:val="16"/>
              </w:rPr>
              <w:t>Gate</w:t>
            </w:r>
          </w:p>
        </w:tc>
        <w:tc>
          <w:tcPr>
            <w:tcW w:type="dxa" w:w="8712"/>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Need</w:t>
            </w:r>
          </w:p>
        </w:tc>
        <w:tc>
          <w:tcPr>
            <w:tcW w:type="dxa" w:w="8712"/>
            <w:shd w:fill="FFFFFF"/>
            <w:tcMar>
              <w:top w:w="42" w:type="dxa"/>
              <w:start w:w="100" w:type="dxa"/>
              <w:bottom w:w="42" w:type="dxa"/>
              <w:end w:w="100" w:type="dxa"/>
            </w:tcMar>
            <w:vAlign w:val="top"/>
          </w:tcPr>
          <w:p>
            <w:pPr>
              <w:spacing w:after="0" w:line="240" w:lineRule="auto"/>
              <w:keepNext w:val="1"/>
            </w:pPr>
            <w:r>
              <w:rPr>
                <w:sz w:val="15"/>
              </w:rPr>
              <w:t>Is there a measured price, access or reliability problem after comparing like fuel, tax, grade, time and location?</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Volume</w:t>
            </w:r>
          </w:p>
        </w:tc>
        <w:tc>
          <w:tcPr>
            <w:tcW w:type="dxa" w:w="8712"/>
            <w:shd w:fill="F3F4F4"/>
            <w:tcMar>
              <w:top w:w="42" w:type="dxa"/>
              <w:start w:w="100" w:type="dxa"/>
              <w:bottom w:w="42" w:type="dxa"/>
              <w:end w:w="100" w:type="dxa"/>
            </w:tcMar>
            <w:vAlign w:val="top"/>
          </w:tcPr>
          <w:p>
            <w:pPr>
              <w:spacing w:after="0" w:line="240" w:lineRule="auto"/>
              <w:keepNext w:val="1"/>
            </w:pPr>
            <w:r>
              <w:rPr>
                <w:sz w:val="15"/>
              </w:rPr>
              <w:t>What demand is contractually credible, and what happens at 60%, 80% and 100% of forecast throughput?</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Authority</w:t>
            </w:r>
          </w:p>
        </w:tc>
        <w:tc>
          <w:tcPr>
            <w:tcW w:type="dxa" w:w="8712"/>
            <w:shd w:fill="FFFFFF"/>
            <w:tcMar>
              <w:top w:w="42" w:type="dxa"/>
              <w:start w:w="100" w:type="dxa"/>
              <w:bottom w:w="42" w:type="dxa"/>
              <w:end w:w="100" w:type="dxa"/>
            </w:tcMar>
            <w:vAlign w:val="top"/>
          </w:tcPr>
          <w:p>
            <w:pPr>
              <w:spacing w:after="0" w:line="240" w:lineRule="auto"/>
              <w:keepNext w:val="1"/>
            </w:pPr>
            <w:r>
              <w:rPr>
                <w:sz w:val="15"/>
              </w:rPr>
              <w:t>Are the proposed procurement, storage and retail arrangements lawful in the province?</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Site and safety</w:t>
            </w:r>
          </w:p>
        </w:tc>
        <w:tc>
          <w:tcPr>
            <w:tcW w:type="dxa" w:w="8712"/>
            <w:shd w:fill="F3F4F4"/>
            <w:tcMar>
              <w:top w:w="42" w:type="dxa"/>
              <w:start w:w="100" w:type="dxa"/>
              <w:bottom w:w="42" w:type="dxa"/>
              <w:end w:w="100" w:type="dxa"/>
            </w:tcMar>
            <w:vAlign w:val="top"/>
          </w:tcPr>
          <w:p>
            <w:pPr>
              <w:spacing w:after="0" w:line="240" w:lineRule="auto"/>
              <w:keepNext w:val="1"/>
            </w:pPr>
            <w:r>
              <w:rPr>
                <w:sz w:val="15"/>
              </w:rPr>
              <w:t>Can the site meet environmental, fire, traffic, security, spill and decommissioning requirements?</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Economics</w:t>
            </w:r>
          </w:p>
        </w:tc>
        <w:tc>
          <w:tcPr>
            <w:tcW w:type="dxa" w:w="8712"/>
            <w:shd w:fill="FFFFFF"/>
            <w:tcMar>
              <w:top w:w="42" w:type="dxa"/>
              <w:start w:w="100" w:type="dxa"/>
              <w:bottom w:w="42" w:type="dxa"/>
              <w:end w:w="100" w:type="dxa"/>
            </w:tcMar>
            <w:vAlign w:val="top"/>
          </w:tcPr>
          <w:p>
            <w:pPr>
              <w:spacing w:after="0" w:line="240" w:lineRule="auto"/>
              <w:keepNext w:val="1"/>
            </w:pPr>
            <w:r>
              <w:rPr>
                <w:sz w:val="15"/>
              </w:rPr>
              <w:t>Does landed cost plus full operation and capital recovery meet the chosen price or resilience objective?</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pPr>
            <w:r>
              <w:rPr>
                <w:b/>
                <w:color w:val="2D3436"/>
                <w:sz w:val="15"/>
              </w:rPr>
              <w:t>Exit</w:t>
            </w:r>
          </w:p>
        </w:tc>
        <w:tc>
          <w:tcPr>
            <w:tcW w:type="dxa" w:w="8712"/>
            <w:shd w:fill="F3F4F4"/>
            <w:tcMar>
              <w:top w:w="42" w:type="dxa"/>
              <w:start w:w="100" w:type="dxa"/>
              <w:bottom w:w="42" w:type="dxa"/>
              <w:end w:w="100" w:type="dxa"/>
            </w:tcMar>
            <w:vAlign w:val="top"/>
          </w:tcPr>
          <w:p>
            <w:pPr>
              <w:spacing w:after="0" w:line="240" w:lineRule="auto"/>
            </w:pPr>
            <w:r>
              <w:rPr>
                <w:sz w:val="15"/>
              </w:rPr>
              <w:t>Can contracts and assets be wound down without stranding debt or remediation liability?</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08"/>
            <w:shd w:fill="244C5A"/>
            <w:tcMar>
              <w:top w:w="58" w:type="dxa"/>
              <w:start w:w="100" w:type="dxa"/>
              <w:bottom w:w="58" w:type="dxa"/>
              <w:end w:w="100" w:type="dxa"/>
            </w:tcMar>
            <w:vAlign w:val="center"/>
          </w:tcPr>
          <w:p>
            <w:pPr>
              <w:spacing w:after="0"/>
            </w:pPr>
            <w:r>
              <w:rPr>
                <w:b/>
                <w:color w:val="FFFFFF"/>
                <w:sz w:val="16"/>
              </w:rPr>
              <w:t>Measure</w:t>
            </w:r>
          </w:p>
        </w:tc>
        <w:tc>
          <w:tcPr>
            <w:tcW w:type="dxa" w:w="7632"/>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Committed and actual throughput</w:t>
            </w:r>
          </w:p>
        </w:tc>
        <w:tc>
          <w:tcPr>
            <w:tcW w:type="dxa" w:w="7632"/>
            <w:shd w:fill="FFFFFF"/>
            <w:tcMar>
              <w:top w:w="42" w:type="dxa"/>
              <w:start w:w="100" w:type="dxa"/>
              <w:bottom w:w="42" w:type="dxa"/>
              <w:end w:w="100" w:type="dxa"/>
            </w:tcMar>
            <w:vAlign w:val="top"/>
          </w:tcPr>
          <w:p>
            <w:pPr>
              <w:spacing w:after="0" w:line="240" w:lineRule="auto"/>
            </w:pPr>
            <w:r>
              <w:rPr>
                <w:sz w:val="15"/>
              </w:rPr>
              <w:t>Litres by fuel and user group; report forecast variance and customer concentration.</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Landed cost per litre</w:t>
            </w:r>
          </w:p>
        </w:tc>
        <w:tc>
          <w:tcPr>
            <w:tcW w:type="dxa" w:w="7632"/>
            <w:shd w:fill="F3F4F4"/>
            <w:tcMar>
              <w:top w:w="42" w:type="dxa"/>
              <w:start w:w="100" w:type="dxa"/>
              <w:bottom w:w="42" w:type="dxa"/>
              <w:end w:w="100" w:type="dxa"/>
            </w:tcMar>
            <w:vAlign w:val="top"/>
          </w:tcPr>
          <w:p>
            <w:pPr>
              <w:spacing w:after="0" w:line="240" w:lineRule="auto"/>
            </w:pPr>
            <w:r>
              <w:rPr>
                <w:sz w:val="15"/>
              </w:rPr>
              <w:t>Wholesale, freight, handling, losses, compliance and tax before retail operating cost.</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Benchmark-adjusted retail difference</w:t>
            </w:r>
          </w:p>
        </w:tc>
        <w:tc>
          <w:tcPr>
            <w:tcW w:type="dxa" w:w="7632"/>
            <w:shd w:fill="FFFFFF"/>
            <w:tcMar>
              <w:top w:w="42" w:type="dxa"/>
              <w:start w:w="100" w:type="dxa"/>
              <w:bottom w:w="42" w:type="dxa"/>
              <w:end w:w="100" w:type="dxa"/>
            </w:tcMar>
            <w:vAlign w:val="top"/>
          </w:tcPr>
          <w:p>
            <w:pPr>
              <w:spacing w:after="0" w:line="240" w:lineRule="auto"/>
            </w:pPr>
            <w:r>
              <w:rPr>
                <w:sz w:val="15"/>
              </w:rPr>
              <w:t>Municipal effective price minus a defined comparable local or regional price on the same dates and tax basis.</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Operating and debt coverage</w:t>
            </w:r>
          </w:p>
        </w:tc>
        <w:tc>
          <w:tcPr>
            <w:tcW w:type="dxa" w:w="7632"/>
            <w:shd w:fill="F3F4F4"/>
            <w:tcMar>
              <w:top w:w="42" w:type="dxa"/>
              <w:start w:w="100" w:type="dxa"/>
              <w:bottom w:w="42" w:type="dxa"/>
              <w:end w:w="100" w:type="dxa"/>
            </w:tcMar>
            <w:vAlign w:val="top"/>
          </w:tcPr>
          <w:p>
            <w:pPr>
              <w:spacing w:after="0" w:line="240" w:lineRule="auto"/>
            </w:pPr>
            <w:r>
              <w:rPr>
                <w:sz w:val="15"/>
              </w:rPr>
              <w:t>Revenue relative to full operating expense, debt service and renewal; disclose any municipal fuel purchases priced above or below market.</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Public support per litre</w:t>
            </w:r>
          </w:p>
        </w:tc>
        <w:tc>
          <w:tcPr>
            <w:tcW w:type="dxa" w:w="7632"/>
            <w:shd w:fill="FFFFFF"/>
            <w:tcMar>
              <w:top w:w="42" w:type="dxa"/>
              <w:start w:w="100" w:type="dxa"/>
              <w:bottom w:w="42" w:type="dxa"/>
              <w:end w:w="100" w:type="dxa"/>
            </w:tcMar>
            <w:vAlign w:val="top"/>
          </w:tcPr>
          <w:p>
            <w:pPr>
              <w:spacing w:after="0" w:line="240" w:lineRule="auto"/>
            </w:pPr>
            <w:r>
              <w:rPr>
                <w:sz w:val="15"/>
              </w:rPr>
              <w:t>All operating and capital subsidy divided by public litres sold; report resilience spending separately if that is the purpose.</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Reliability</w:t>
            </w:r>
          </w:p>
        </w:tc>
        <w:tc>
          <w:tcPr>
            <w:tcW w:type="dxa" w:w="7632"/>
            <w:shd w:fill="F3F4F4"/>
            <w:tcMar>
              <w:top w:w="42" w:type="dxa"/>
              <w:start w:w="100" w:type="dxa"/>
              <w:bottom w:w="42" w:type="dxa"/>
              <w:end w:w="100" w:type="dxa"/>
            </w:tcMar>
            <w:vAlign w:val="top"/>
          </w:tcPr>
          <w:p>
            <w:pPr>
              <w:spacing w:after="0" w:line="240" w:lineRule="auto"/>
            </w:pPr>
            <w:r>
              <w:rPr>
                <w:sz w:val="15"/>
              </w:rPr>
              <w:t>Stockout events, hours unavailable, emergency days of supply and supplier concentration.</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Safety and environment</w:t>
            </w:r>
          </w:p>
        </w:tc>
        <w:tc>
          <w:tcPr>
            <w:tcW w:type="dxa" w:w="7632"/>
            <w:shd w:fill="FFFFFF"/>
            <w:tcMar>
              <w:top w:w="42" w:type="dxa"/>
              <w:start w:w="100" w:type="dxa"/>
              <w:bottom w:w="42" w:type="dxa"/>
              <w:end w:w="100" w:type="dxa"/>
            </w:tcMar>
            <w:vAlign w:val="top"/>
          </w:tcPr>
          <w:p>
            <w:pPr>
              <w:spacing w:after="0" w:line="240" w:lineRule="auto"/>
            </w:pPr>
            <w:r>
              <w:rPr>
                <w:sz w:val="15"/>
              </w:rPr>
              <w:t>Spills, near misses, inspection findings, remediation provision and training compliance.</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Transition exposure</w:t>
            </w:r>
          </w:p>
        </w:tc>
        <w:tc>
          <w:tcPr>
            <w:tcW w:type="dxa" w:w="7632"/>
            <w:shd w:fill="F3F4F4"/>
            <w:tcMar>
              <w:top w:w="42" w:type="dxa"/>
              <w:start w:w="100" w:type="dxa"/>
              <w:bottom w:w="42" w:type="dxa"/>
              <w:end w:w="100" w:type="dxa"/>
            </w:tcMar>
            <w:vAlign w:val="top"/>
          </w:tcPr>
          <w:p>
            <w:pPr>
              <w:spacing w:after="0" w:line="240" w:lineRule="auto"/>
            </w:pPr>
            <w:r>
              <w:rPr>
                <w:sz w:val="15"/>
              </w:rPr>
              <w:t>Demand sensitivity under fleet electrification, efficiency and alternative-fuel scenarios.</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Municipal fleet procurement and emergency fuel planning are established practices. Fuel storage, retail, price treatment and environmental obligations are regulated and vary by province.</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Local price and availability baseline, committed volume, supplier terms, site risk, insurance, taxes, provincial permissions, capital cost and fleet-transition forecast.</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A municipally coordinated contract, depot, cardlock or retail outlet could improve delivered cost or resilience in a specific market gap. The size and distribution of any benefit must be tested.</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Fuel Autonomy does not mean exemption from tax or safety law, guaranteed lower pump prices, automatic public retail, or indefinite investment in fuel assets despite demand transition.</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448"/>
            <w:shd w:fill="244C5A"/>
            <w:tcMar>
              <w:top w:w="58" w:type="dxa"/>
              <w:start w:w="100" w:type="dxa"/>
              <w:bottom w:w="58" w:type="dxa"/>
              <w:end w:w="100" w:type="dxa"/>
            </w:tcMar>
            <w:vAlign w:val="center"/>
          </w:tcPr>
          <w:p>
            <w:pPr>
              <w:spacing w:after="0"/>
              <w:keepNext w:val="1"/>
            </w:pPr>
            <w:r>
              <w:rPr>
                <w:b/>
                <w:color w:val="FFFFFF"/>
                <w:sz w:val="16"/>
              </w:rPr>
              <w:t>Risk</w:t>
            </w:r>
          </w:p>
        </w:tc>
        <w:tc>
          <w:tcPr>
            <w:tcW w:type="dxa" w:w="7992"/>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Commodity and volume volatility</w:t>
            </w:r>
          </w:p>
        </w:tc>
        <w:tc>
          <w:tcPr>
            <w:tcW w:type="dxa" w:w="7992"/>
            <w:shd w:fill="FFFFFF"/>
            <w:tcMar>
              <w:top w:w="42" w:type="dxa"/>
              <w:start w:w="100" w:type="dxa"/>
              <w:bottom w:w="42" w:type="dxa"/>
              <w:end w:w="100" w:type="dxa"/>
            </w:tcMar>
            <w:vAlign w:val="top"/>
          </w:tcPr>
          <w:p>
            <w:pPr>
              <w:spacing w:after="0" w:line="240" w:lineRule="auto"/>
              <w:keepNext w:val="1"/>
            </w:pPr>
            <w:r>
              <w:rPr>
                <w:sz w:val="15"/>
              </w:rPr>
              <w:t>Scenario tests, minimum-volume commitments, short decision intervals and staged capital.</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Environmental liability</w:t>
            </w:r>
          </w:p>
        </w:tc>
        <w:tc>
          <w:tcPr>
            <w:tcW w:type="dxa" w:w="7992"/>
            <w:shd w:fill="F3F4F4"/>
            <w:tcMar>
              <w:top w:w="42" w:type="dxa"/>
              <w:start w:w="100" w:type="dxa"/>
              <w:bottom w:w="42" w:type="dxa"/>
              <w:end w:w="100" w:type="dxa"/>
            </w:tcMar>
            <w:vAlign w:val="top"/>
          </w:tcPr>
          <w:p>
            <w:pPr>
              <w:spacing w:after="0" w:line="240" w:lineRule="auto"/>
              <w:keepNext w:val="1"/>
            </w:pPr>
            <w:r>
              <w:rPr>
                <w:sz w:val="15"/>
              </w:rPr>
              <w:t>Baseline assessment, certified tanks and monitoring, spill plan, insurance and funded decommissioning.</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Private-market displacement</w:t>
            </w:r>
          </w:p>
        </w:tc>
        <w:tc>
          <w:tcPr>
            <w:tcW w:type="dxa" w:w="7992"/>
            <w:shd w:fill="FFFFFF"/>
            <w:tcMar>
              <w:top w:w="42" w:type="dxa"/>
              <w:start w:w="100" w:type="dxa"/>
              <w:bottom w:w="42" w:type="dxa"/>
              <w:end w:w="100" w:type="dxa"/>
            </w:tcMar>
            <w:vAlign w:val="top"/>
          </w:tcPr>
          <w:p>
            <w:pPr>
              <w:spacing w:after="0" w:line="240" w:lineRule="auto"/>
              <w:keepNext w:val="1"/>
            </w:pPr>
            <w:r>
              <w:rPr>
                <w:sz w:val="15"/>
              </w:rPr>
              <w:t>Document the service gap and compare a supply contract or procurement partnership before public retail.</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Opaque internal pricing</w:t>
            </w:r>
          </w:p>
        </w:tc>
        <w:tc>
          <w:tcPr>
            <w:tcW w:type="dxa" w:w="7992"/>
            <w:shd w:fill="F3F4F4"/>
            <w:tcMar>
              <w:top w:w="42" w:type="dxa"/>
              <w:start w:w="100" w:type="dxa"/>
              <w:bottom w:w="42" w:type="dxa"/>
              <w:end w:w="100" w:type="dxa"/>
            </w:tcMar>
            <w:vAlign w:val="top"/>
          </w:tcPr>
          <w:p>
            <w:pPr>
              <w:spacing w:after="0" w:line="240" w:lineRule="auto"/>
              <w:keepNext w:val="1"/>
            </w:pPr>
            <w:r>
              <w:rPr>
                <w:sz w:val="15"/>
              </w:rPr>
              <w:t>Published transfer-pricing method for municipal fleets and other municipal enterprises.</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pPr>
            <w:r>
              <w:rPr>
                <w:b/>
                <w:color w:val="2D3436"/>
                <w:sz w:val="15"/>
              </w:rPr>
              <w:t>Stranded asset</w:t>
            </w:r>
          </w:p>
        </w:tc>
        <w:tc>
          <w:tcPr>
            <w:tcW w:type="dxa" w:w="7992"/>
            <w:shd w:fill="FFFFFF"/>
            <w:tcMar>
              <w:top w:w="42" w:type="dxa"/>
              <w:start w:w="100" w:type="dxa"/>
              <w:bottom w:w="42" w:type="dxa"/>
              <w:end w:w="100" w:type="dxa"/>
            </w:tcMar>
            <w:vAlign w:val="top"/>
          </w:tcPr>
          <w:p>
            <w:pPr>
              <w:spacing w:after="0" w:line="240" w:lineRule="auto"/>
            </w:pPr>
            <w:r>
              <w:rPr>
                <w:sz w:val="15"/>
              </w:rPr>
              <w:t>Model vehicle and equipment transition; favour adaptable sites and equipment where feasible.</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F1  </w:t>
      </w:r>
      <w:hyperlink r:id="rId11">
        <w:r>
          <w:rPr>
            <w:color w:val="244C5A"/>
            <w:u w:val="single"/>
            <w:rFonts w:ascii="Aptos" w:hAnsi="Aptos"/>
          </w:rPr>
          <w:t>Constitution Act, 1867</w:t>
        </w:r>
      </w:hyperlink>
      <w:r>
        <w:t xml:space="preserve"> — Provides the high-level division of legislative authority; province-specific fuel, environmental and municipal statutes still require legal review.</w:t>
      </w:r>
    </w:p>
    <w:p>
      <w:r>
        <w:br w:type="page"/>
      </w:r>
    </w:p>
    <w:p>
      <w:pPr>
        <w:pStyle w:val="Kicker"/>
        <w:keepNext w:val="1"/>
        <w:keepLines w:val="1"/>
      </w:pPr>
      <w:r>
        <w:t>AUTONOMY 04  |  SUGGESTED SLUG /HEALTHCARE-AUTONOMY</w:t>
      </w:r>
    </w:p>
    <w:p>
      <w:pPr>
        <w:pStyle w:val="TitlePage"/>
        <w:keepNext w:val="1"/>
        <w:keepLines w:val="1"/>
      </w:pPr>
      <w:bookmarkStart w:id="340928" w:name="healthcare"/>
      <w:bookmarkEnd w:id="340928"/>
      <w:r>
        <w:t>Healthcare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Healthcare Autonomy is the municipal capacity to plan, own, support or manage local hospitals, clinics and related facilities or access systems under provincial funding, law, clinical standards and oversight.</w:t>
            </w:r>
          </w:p>
        </w:tc>
      </w:tr>
    </w:tbl>
    <w:p>
      <w:pPr>
        <w:spacing w:after="0"/>
      </w:pPr>
    </w:p>
    <w:p>
      <w:pPr>
        <w:pStyle w:val="Heading1"/>
        <w:keepNext w:val="1"/>
        <w:keepLines w:val="1"/>
      </w:pPr>
      <w:r>
        <w:t>Why this component exists</w:t>
      </w:r>
    </w:p>
    <w:p>
      <w:pPr>
        <w:pStyle w:val="BodyText"/>
      </w:pPr>
      <w:r>
        <w:t>Residents experience healthcare access locally even though provinces and territories organize, regulate and fund insured care. Municipal action can add value by coordinating facilities, land, transportation, worker housing, recruitment supports, communications and community services around a provincially approved care model. It cannot create a parallel public insurance system or solve clinician shortages by declaration.</w:t>
      </w:r>
    </w:p>
    <w:p>
      <w:pPr>
        <w:pStyle w:val="BodyText"/>
      </w:pPr>
      <w:r>
        <w:t>The purpose is to make local access capacity measurable and operational while preserving clinical independence. A municipal role should begin only with a provincial health authority or ministry agreement that defines services, funding, governance, quality, data, liability and escalation. Ownership of a building is not evidence that care is accessible; access is measured through attachment, timeliness, continuity, safety and outcomes.</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Facilities</w:t>
            </w:r>
          </w:p>
        </w:tc>
        <w:tc>
          <w:tcPr>
            <w:tcW w:type="dxa" w:w="7560"/>
            <w:shd w:fill="FFFFFF"/>
            <w:tcMar>
              <w:top w:w="68" w:type="dxa"/>
              <w:start w:w="100" w:type="dxa"/>
              <w:bottom w:w="68" w:type="dxa"/>
              <w:end w:w="100" w:type="dxa"/>
            </w:tcMar>
            <w:vAlign w:val="top"/>
          </w:tcPr>
          <w:p>
            <w:pPr>
              <w:spacing w:after="0" w:line="240" w:lineRule="auto"/>
              <w:keepNext w:val="1"/>
            </w:pPr>
            <w:r>
              <w:rPr>
                <w:sz w:val="17"/>
              </w:rPr>
              <w:t>Hospitals, primary-care clinics, community-health facilities, diagnostic or urgent-care capacity and other services only as authorized and funded.</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Local access supports</w:t>
            </w:r>
          </w:p>
        </w:tc>
        <w:tc>
          <w:tcPr>
            <w:tcW w:type="dxa" w:w="7560"/>
            <w:shd w:fill="F3F4F4"/>
            <w:tcMar>
              <w:top w:w="68" w:type="dxa"/>
              <w:start w:w="100" w:type="dxa"/>
              <w:bottom w:w="68" w:type="dxa"/>
              <w:end w:w="100" w:type="dxa"/>
            </w:tcMar>
            <w:vAlign w:val="top"/>
          </w:tcPr>
          <w:p>
            <w:pPr>
              <w:spacing w:after="0" w:line="240" w:lineRule="auto"/>
              <w:keepNext w:val="1"/>
            </w:pPr>
            <w:r>
              <w:rPr>
                <w:sz w:val="17"/>
              </w:rPr>
              <w:t>Sites, capital delivery, facility operation, transit links, workforce housing, recruitment support, emergency planning and digital access.</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Operating arrangements</w:t>
            </w:r>
          </w:p>
        </w:tc>
        <w:tc>
          <w:tcPr>
            <w:tcW w:type="dxa" w:w="7560"/>
            <w:shd w:fill="FFFFFF"/>
            <w:tcMar>
              <w:top w:w="68" w:type="dxa"/>
              <w:start w:w="100" w:type="dxa"/>
              <w:bottom w:w="68" w:type="dxa"/>
              <w:end w:w="100" w:type="dxa"/>
            </w:tcMar>
            <w:vAlign w:val="top"/>
          </w:tcPr>
          <w:p>
            <w:pPr>
              <w:spacing w:after="0" w:line="240" w:lineRule="auto"/>
              <w:keepNext w:val="1"/>
            </w:pPr>
            <w:r>
              <w:rPr>
                <w:sz w:val="17"/>
              </w:rPr>
              <w:t>Municipal, health-authority, nonprofit, Indigenous or private delivery arrangements where lawful, with insured services governed by applicable public rules.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Clinical governance</w:t>
            </w:r>
          </w:p>
        </w:tc>
        <w:tc>
          <w:tcPr>
            <w:tcW w:type="dxa" w:w="7560"/>
            <w:shd w:fill="F3F4F4"/>
            <w:tcMar>
              <w:top w:w="68" w:type="dxa"/>
              <w:start w:w="100" w:type="dxa"/>
              <w:bottom w:w="68" w:type="dxa"/>
              <w:end w:w="100" w:type="dxa"/>
            </w:tcMar>
            <w:vAlign w:val="top"/>
          </w:tcPr>
          <w:p>
            <w:pPr>
              <w:spacing w:after="0" w:line="240" w:lineRule="auto"/>
              <w:keepNext w:val="1"/>
            </w:pPr>
            <w:r>
              <w:rPr>
                <w:sz w:val="17"/>
              </w:rPr>
              <w:t>Arm’s-length professional leadership, credentialing, quality and safety processes; council does not direct individual clinical decisions.</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Provincial role</w:t>
            </w:r>
          </w:p>
        </w:tc>
        <w:tc>
          <w:tcPr>
            <w:tcW w:type="dxa" w:w="7560"/>
            <w:shd w:fill="FFFFFF"/>
            <w:tcMar>
              <w:top w:w="68" w:type="dxa"/>
              <w:start w:w="100" w:type="dxa"/>
              <w:bottom w:w="68" w:type="dxa"/>
              <w:end w:w="100" w:type="dxa"/>
            </w:tcMar>
            <w:vAlign w:val="top"/>
          </w:tcPr>
          <w:p>
            <w:pPr>
              <w:spacing w:after="0" w:line="240" w:lineRule="auto"/>
              <w:keepNext w:val="1"/>
            </w:pPr>
            <w:r>
              <w:rPr>
                <w:sz w:val="17"/>
              </w:rPr>
              <w:t>Provincial insurance, health-system planning, professional and facility regulation, service standards, funding and oversight remain.</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Patient charges</w:t>
            </w:r>
          </w:p>
        </w:tc>
        <w:tc>
          <w:tcPr>
            <w:tcW w:type="dxa" w:w="7560"/>
            <w:shd w:fill="F3F4F4"/>
            <w:tcMar>
              <w:top w:w="68" w:type="dxa"/>
              <w:start w:w="100" w:type="dxa"/>
              <w:bottom w:w="68" w:type="dxa"/>
              <w:end w:w="100" w:type="dxa"/>
            </w:tcMar>
            <w:vAlign w:val="top"/>
          </w:tcPr>
          <w:p>
            <w:pPr>
              <w:spacing w:after="0" w:line="240" w:lineRule="auto"/>
            </w:pPr>
            <w:r>
              <w:rPr>
                <w:sz w:val="17"/>
              </w:rPr>
              <w:t>No CDMM claim authorizes charges for insured services or circumvention of the Canada Health Act and provincial law.</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Define the access problem using population need, attachment, waits, travel, utilization and equity—not facility preference alone.</w:t>
      </w:r>
    </w:p>
    <w:p>
      <w:pPr>
        <w:pStyle w:val="BodyText"/>
        <w:ind w:left="432" w:hanging="317"/>
        <w:keepLines w:val="1"/>
      </w:pPr>
      <w:r>
        <w:rPr>
          <w:b/>
        </w:rPr>
        <w:t xml:space="preserve">2.  </w:t>
      </w:r>
      <w:r>
        <w:t>Agree the service envelope and referral relationships with the responsible province, health authority and Indigenous health partners before designing a building.</w:t>
      </w:r>
    </w:p>
    <w:p>
      <w:pPr>
        <w:pStyle w:val="BodyText"/>
        <w:ind w:left="432" w:hanging="317"/>
        <w:keepLines w:val="1"/>
      </w:pPr>
      <w:r>
        <w:rPr>
          <w:b/>
        </w:rPr>
        <w:t xml:space="preserve">3.  </w:t>
      </w:r>
      <w:r>
        <w:t>Select the governance and operator model; protect clinical independence, professional accountability, privacy, quality and public reporting.</w:t>
      </w:r>
    </w:p>
    <w:p>
      <w:pPr>
        <w:pStyle w:val="BodyText"/>
        <w:ind w:left="432" w:hanging="317"/>
        <w:keepLines w:val="1"/>
      </w:pPr>
      <w:r>
        <w:rPr>
          <w:b/>
        </w:rPr>
        <w:t xml:space="preserve">4.  </w:t>
      </w:r>
      <w:r>
        <w:t>Build an integrated workforce plan covering clinicians, allied health, operations, housing, transport and digital support, with funded positions rather than recruitment targets alone.</w:t>
      </w:r>
    </w:p>
    <w:p>
      <w:pPr>
        <w:pStyle w:val="BodyText"/>
        <w:ind w:left="432" w:hanging="317"/>
        <w:keepLines w:val="1"/>
      </w:pPr>
      <w:r>
        <w:rPr>
          <w:b/>
        </w:rPr>
        <w:t xml:space="preserve">5.  </w:t>
      </w:r>
      <w:r>
        <w:t>Design or repurpose facilities against service flow, infection control, accessibility, digital capability, energy resilience and lifecycle cost.</w:t>
      </w:r>
    </w:p>
    <w:p>
      <w:pPr>
        <w:pStyle w:val="BodyText"/>
        <w:ind w:left="432" w:hanging="317"/>
        <w:keepLines w:val="1"/>
      </w:pPr>
      <w:r>
        <w:rPr>
          <w:b/>
        </w:rPr>
        <w:t xml:space="preserve">6.  </w:t>
      </w:r>
      <w:r>
        <w:t>Measure access, continuity, quality, workforce and cost; expand only if results improve without shifting unresolved demand elsewhere in the system.</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keepNext w:val="1"/>
            </w:pPr>
            <w:r>
              <w:rPr>
                <w:b/>
                <w:color w:val="FFFFFF"/>
                <w:sz w:val="16"/>
              </w:rPr>
              <w:t>Connection</w:t>
            </w:r>
          </w:p>
        </w:tc>
        <w:tc>
          <w:tcPr>
            <w:tcW w:type="dxa" w:w="7920"/>
            <w:shd w:fill="244C5A"/>
            <w:tcMar>
              <w:top w:w="58" w:type="dxa"/>
              <w:start w:w="100" w:type="dxa"/>
              <w:bottom w:w="58" w:type="dxa"/>
              <w:end w:w="100" w:type="dxa"/>
            </w:tcMar>
            <w:vAlign w:val="center"/>
          </w:tcPr>
          <w:p>
            <w:pPr>
              <w:spacing w:after="0"/>
              <w:keepNext w:val="1"/>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Housing</w:t>
            </w:r>
          </w:p>
        </w:tc>
        <w:tc>
          <w:tcPr>
            <w:tcW w:type="dxa" w:w="7920"/>
            <w:shd w:fill="FFFFFF"/>
            <w:tcMar>
              <w:top w:w="42" w:type="dxa"/>
              <w:start w:w="100" w:type="dxa"/>
              <w:bottom w:w="42" w:type="dxa"/>
              <w:end w:w="100" w:type="dxa"/>
            </w:tcMar>
            <w:vAlign w:val="top"/>
          </w:tcPr>
          <w:p>
            <w:pPr>
              <w:spacing w:after="0" w:line="240" w:lineRule="auto"/>
              <w:keepNext w:val="1"/>
            </w:pPr>
            <w:r>
              <w:rPr>
                <w:sz w:val="15"/>
              </w:rPr>
              <w:t>Stable and suitable housing affects health; workforce housing can influence recruitment and retention.</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Transportation</w:t>
            </w:r>
          </w:p>
        </w:tc>
        <w:tc>
          <w:tcPr>
            <w:tcW w:type="dxa" w:w="7920"/>
            <w:shd w:fill="F3F4F4"/>
            <w:tcMar>
              <w:top w:w="42" w:type="dxa"/>
              <w:start w:w="100" w:type="dxa"/>
              <w:bottom w:w="42" w:type="dxa"/>
              <w:end w:w="100" w:type="dxa"/>
            </w:tcMar>
            <w:vAlign w:val="top"/>
          </w:tcPr>
          <w:p>
            <w:pPr>
              <w:spacing w:after="0" w:line="240" w:lineRule="auto"/>
              <w:keepNext w:val="1"/>
            </w:pPr>
            <w:r>
              <w:rPr>
                <w:sz w:val="15"/>
              </w:rPr>
              <w:t>Travel time, accessible transit and missed-trip performance determine whether a nominal service is reachable.</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Workforce &amp; Skills</w:t>
            </w:r>
          </w:p>
        </w:tc>
        <w:tc>
          <w:tcPr>
            <w:tcW w:type="dxa" w:w="7920"/>
            <w:shd w:fill="FFFFFF"/>
            <w:tcMar>
              <w:top w:w="42" w:type="dxa"/>
              <w:start w:w="100" w:type="dxa"/>
              <w:bottom w:w="42" w:type="dxa"/>
              <w:end w:w="100" w:type="dxa"/>
            </w:tcMar>
            <w:vAlign w:val="top"/>
          </w:tcPr>
          <w:p>
            <w:pPr>
              <w:spacing w:after="0" w:line="240" w:lineRule="auto"/>
              <w:keepNext w:val="1"/>
            </w:pPr>
            <w:r>
              <w:rPr>
                <w:sz w:val="15"/>
              </w:rPr>
              <w:t>Funded positions, training placements and retention supports must match provincial credential requirements.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Digital &amp; Communications</w:t>
            </w:r>
          </w:p>
        </w:tc>
        <w:tc>
          <w:tcPr>
            <w:tcW w:type="dxa" w:w="7920"/>
            <w:shd w:fill="F3F4F4"/>
            <w:tcMar>
              <w:top w:w="42" w:type="dxa"/>
              <w:start w:w="100" w:type="dxa"/>
              <w:bottom w:w="42" w:type="dxa"/>
              <w:end w:w="100" w:type="dxa"/>
            </w:tcMar>
            <w:vAlign w:val="top"/>
          </w:tcPr>
          <w:p>
            <w:pPr>
              <w:spacing w:after="0" w:line="240" w:lineRule="auto"/>
              <w:keepNext w:val="1"/>
            </w:pPr>
            <w:r>
              <w:rPr>
                <w:sz w:val="15"/>
              </w:rPr>
              <w:t>Secure connectivity supports records, virtual care, scheduling and emergency communications; privacy and cyber controls are essential.</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Energy</w:t>
            </w:r>
          </w:p>
        </w:tc>
        <w:tc>
          <w:tcPr>
            <w:tcW w:type="dxa" w:w="7920"/>
            <w:shd w:fill="FFFFFF"/>
            <w:tcMar>
              <w:top w:w="42" w:type="dxa"/>
              <w:start w:w="100" w:type="dxa"/>
              <w:bottom w:w="42" w:type="dxa"/>
              <w:end w:w="100" w:type="dxa"/>
            </w:tcMar>
            <w:vAlign w:val="top"/>
          </w:tcPr>
          <w:p>
            <w:pPr>
              <w:spacing w:after="0" w:line="240" w:lineRule="auto"/>
              <w:keepNext w:val="1"/>
            </w:pPr>
            <w:r>
              <w:rPr>
                <w:sz w:val="15"/>
              </w:rPr>
              <w:t>Critical facilities need reliable power, backup duration and tested continuity plans.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Municipal Grocery</w:t>
            </w:r>
          </w:p>
        </w:tc>
        <w:tc>
          <w:tcPr>
            <w:tcW w:type="dxa" w:w="7920"/>
            <w:shd w:fill="F3F4F4"/>
            <w:tcMar>
              <w:top w:w="42" w:type="dxa"/>
              <w:start w:w="100" w:type="dxa"/>
              <w:bottom w:w="42" w:type="dxa"/>
              <w:end w:w="100" w:type="dxa"/>
            </w:tcMar>
            <w:vAlign w:val="top"/>
          </w:tcPr>
          <w:p>
            <w:pPr>
              <w:spacing w:after="0" w:line="240" w:lineRule="auto"/>
            </w:pPr>
            <w:r>
              <w:rPr>
                <w:sz w:val="15"/>
              </w:rPr>
              <w:t>Food access may support population health, but healthcare outcomes cannot be assigned to grocery activity without an evaluation design.</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76"/>
            <w:shd w:fill="244C5A"/>
            <w:tcMar>
              <w:top w:w="58" w:type="dxa"/>
              <w:start w:w="100" w:type="dxa"/>
              <w:bottom w:w="58" w:type="dxa"/>
              <w:end w:w="100" w:type="dxa"/>
            </w:tcMar>
            <w:vAlign w:val="center"/>
          </w:tcPr>
          <w:p>
            <w:pPr>
              <w:spacing w:after="0"/>
              <w:keepNext w:val="1"/>
            </w:pPr>
            <w:r>
              <w:rPr>
                <w:b/>
                <w:color w:val="FFFFFF"/>
                <w:sz w:val="16"/>
              </w:rPr>
              <w:t>Actor</w:t>
            </w:r>
          </w:p>
        </w:tc>
        <w:tc>
          <w:tcPr>
            <w:tcW w:type="dxa" w:w="8064"/>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064"/>
            <w:shd w:fill="FFFFFF"/>
            <w:tcMar>
              <w:top w:w="42" w:type="dxa"/>
              <w:start w:w="100" w:type="dxa"/>
              <w:bottom w:w="42" w:type="dxa"/>
              <w:end w:w="100" w:type="dxa"/>
            </w:tcMar>
            <w:vAlign w:val="top"/>
          </w:tcPr>
          <w:p>
            <w:pPr>
              <w:spacing w:after="0" w:line="240" w:lineRule="auto"/>
              <w:keepNext w:val="1"/>
            </w:pPr>
            <w:r>
              <w:rPr>
                <w:sz w:val="15"/>
              </w:rPr>
              <w:t>Local needs evidence, land and facilities, lawful corporate governance, complementary services and transparent municipal exposure.</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064"/>
            <w:shd w:fill="F3F4F4"/>
            <w:tcMar>
              <w:top w:w="42" w:type="dxa"/>
              <w:start w:w="100" w:type="dxa"/>
              <w:bottom w:w="42" w:type="dxa"/>
              <w:end w:w="100" w:type="dxa"/>
            </w:tcMar>
            <w:vAlign w:val="top"/>
          </w:tcPr>
          <w:p>
            <w:pPr>
              <w:spacing w:after="0" w:line="240" w:lineRule="auto"/>
              <w:keepNext w:val="1"/>
            </w:pPr>
            <w:r>
              <w:rPr>
                <w:sz w:val="15"/>
              </w:rPr>
              <w:t>Health insurance, system planning, funding, professional and facility regulation, public-health authority, standards and oversight.</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Federal government</w:t>
            </w:r>
          </w:p>
        </w:tc>
        <w:tc>
          <w:tcPr>
            <w:tcW w:type="dxa" w:w="8064"/>
            <w:shd w:fill="FFFFFF"/>
            <w:tcMar>
              <w:top w:w="42" w:type="dxa"/>
              <w:start w:w="100" w:type="dxa"/>
              <w:bottom w:w="42" w:type="dxa"/>
              <w:end w:w="100" w:type="dxa"/>
            </w:tcMar>
            <w:vAlign w:val="top"/>
          </w:tcPr>
          <w:p>
            <w:pPr>
              <w:spacing w:after="0" w:line="240" w:lineRule="auto"/>
              <w:keepNext w:val="1"/>
            </w:pPr>
            <w:r>
              <w:rPr>
                <w:sz w:val="15"/>
              </w:rPr>
              <w:t>Canada Health Act conditions, federal transfers and federal public-health, Indigenous health or regulatory roles within jurisdiction.</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Health authority and clinicians</w:t>
            </w:r>
          </w:p>
        </w:tc>
        <w:tc>
          <w:tcPr>
            <w:tcW w:type="dxa" w:w="8064"/>
            <w:shd w:fill="F3F4F4"/>
            <w:tcMar>
              <w:top w:w="42" w:type="dxa"/>
              <w:start w:w="100" w:type="dxa"/>
              <w:bottom w:w="42" w:type="dxa"/>
              <w:end w:w="100" w:type="dxa"/>
            </w:tcMar>
            <w:vAlign w:val="top"/>
          </w:tcPr>
          <w:p>
            <w:pPr>
              <w:spacing w:after="0" w:line="240" w:lineRule="auto"/>
              <w:keepNext w:val="1"/>
            </w:pPr>
            <w:r>
              <w:rPr>
                <w:sz w:val="15"/>
              </w:rPr>
              <w:t>Service model, referral network, credentialing, quality, safety, clinical operations and data interpretation.</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pPr>
            <w:r>
              <w:rPr>
                <w:b/>
                <w:color w:val="2D3436"/>
                <w:sz w:val="15"/>
              </w:rPr>
              <w:t>Community and Indigenous partners</w:t>
            </w:r>
          </w:p>
        </w:tc>
        <w:tc>
          <w:tcPr>
            <w:tcW w:type="dxa" w:w="8064"/>
            <w:shd w:fill="FFFFFF"/>
            <w:tcMar>
              <w:top w:w="42" w:type="dxa"/>
              <w:start w:w="100" w:type="dxa"/>
              <w:bottom w:w="42" w:type="dxa"/>
              <w:end w:w="100" w:type="dxa"/>
            </w:tcMar>
            <w:vAlign w:val="top"/>
          </w:tcPr>
          <w:p>
            <w:pPr>
              <w:spacing w:after="0" w:line="240" w:lineRule="auto"/>
            </w:pPr>
            <w:r>
              <w:rPr>
                <w:sz w:val="15"/>
              </w:rPr>
              <w:t>Culturally safe design, access evidence, local service links and rights-based participation.</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872"/>
            <w:shd w:fill="244C5A"/>
            <w:tcMar>
              <w:top w:w="58" w:type="dxa"/>
              <w:start w:w="100" w:type="dxa"/>
              <w:bottom w:w="58" w:type="dxa"/>
              <w:end w:w="100" w:type="dxa"/>
            </w:tcMar>
            <w:vAlign w:val="center"/>
          </w:tcPr>
          <w:p>
            <w:pPr>
              <w:spacing w:after="0"/>
              <w:keepNext w:val="1"/>
            </w:pPr>
            <w:r>
              <w:rPr>
                <w:b/>
                <w:color w:val="FFFFFF"/>
                <w:sz w:val="16"/>
              </w:rPr>
              <w:t>Gate</w:t>
            </w:r>
          </w:p>
        </w:tc>
        <w:tc>
          <w:tcPr>
            <w:tcW w:type="dxa" w:w="8568"/>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872"/>
            <w:shd w:fill="FFFFFF"/>
            <w:tcMar>
              <w:top w:w="42" w:type="dxa"/>
              <w:start w:w="100" w:type="dxa"/>
              <w:bottom w:w="42" w:type="dxa"/>
              <w:end w:w="100" w:type="dxa"/>
            </w:tcMar>
            <w:vAlign w:val="top"/>
          </w:tcPr>
          <w:p>
            <w:pPr>
              <w:spacing w:after="0" w:line="240" w:lineRule="auto"/>
              <w:keepNext w:val="1"/>
            </w:pPr>
            <w:r>
              <w:rPr>
                <w:b/>
                <w:color w:val="2D3436"/>
                <w:sz w:val="15"/>
              </w:rPr>
              <w:t>Need</w:t>
            </w:r>
          </w:p>
        </w:tc>
        <w:tc>
          <w:tcPr>
            <w:tcW w:type="dxa" w:w="8568"/>
            <w:shd w:fill="FFFFFF"/>
            <w:tcMar>
              <w:top w:w="42" w:type="dxa"/>
              <w:start w:w="100" w:type="dxa"/>
              <w:bottom w:w="42" w:type="dxa"/>
              <w:end w:w="100" w:type="dxa"/>
            </w:tcMar>
            <w:vAlign w:val="top"/>
          </w:tcPr>
          <w:p>
            <w:pPr>
              <w:spacing w:after="0" w:line="240" w:lineRule="auto"/>
              <w:keepNext w:val="1"/>
            </w:pPr>
            <w:r>
              <w:rPr>
                <w:sz w:val="15"/>
              </w:rPr>
              <w:t>Which access or outcome gap is documented, for whom, and why is the existing pathway insufficient?</w:t>
            </w:r>
          </w:p>
        </w:tc>
      </w:tr>
      <w:tr>
        <w:trPr>
          <w:cantSplit w:val="true"/>
          <w:trHeight w:hRule="atLeast"/>
        </w:trPr>
        <w:tc>
          <w:tcPr>
            <w:tcW w:type="dxa" w:w="1872"/>
            <w:shd w:fill="F3F4F4"/>
            <w:tcMar>
              <w:top w:w="42" w:type="dxa"/>
              <w:start w:w="100" w:type="dxa"/>
              <w:bottom w:w="42" w:type="dxa"/>
              <w:end w:w="100" w:type="dxa"/>
            </w:tcMar>
            <w:vAlign w:val="top"/>
          </w:tcPr>
          <w:p>
            <w:pPr>
              <w:spacing w:after="0" w:line="240" w:lineRule="auto"/>
              <w:keepNext w:val="1"/>
            </w:pPr>
            <w:r>
              <w:rPr>
                <w:b/>
                <w:color w:val="2D3436"/>
                <w:sz w:val="15"/>
              </w:rPr>
              <w:t>Authority and funding</w:t>
            </w:r>
          </w:p>
        </w:tc>
        <w:tc>
          <w:tcPr>
            <w:tcW w:type="dxa" w:w="8568"/>
            <w:shd w:fill="F3F4F4"/>
            <w:tcMar>
              <w:top w:w="42" w:type="dxa"/>
              <w:start w:w="100" w:type="dxa"/>
              <w:bottom w:w="42" w:type="dxa"/>
              <w:end w:w="100" w:type="dxa"/>
            </w:tcMar>
            <w:vAlign w:val="top"/>
          </w:tcPr>
          <w:p>
            <w:pPr>
              <w:spacing w:after="0" w:line="240" w:lineRule="auto"/>
              <w:keepNext w:val="1"/>
            </w:pPr>
            <w:r>
              <w:rPr>
                <w:sz w:val="15"/>
              </w:rPr>
              <w:t>Is there a binding provincial or health-authority mandate, service agreement and sustainable operating allocation?</w:t>
            </w:r>
          </w:p>
        </w:tc>
      </w:tr>
      <w:tr>
        <w:trPr>
          <w:cantSplit w:val="true"/>
          <w:trHeight w:hRule="atLeast"/>
        </w:trPr>
        <w:tc>
          <w:tcPr>
            <w:tcW w:type="dxa" w:w="1872"/>
            <w:shd w:fill="FFFFFF"/>
            <w:tcMar>
              <w:top w:w="42" w:type="dxa"/>
              <w:start w:w="100" w:type="dxa"/>
              <w:bottom w:w="42" w:type="dxa"/>
              <w:end w:w="100" w:type="dxa"/>
            </w:tcMar>
            <w:vAlign w:val="top"/>
          </w:tcPr>
          <w:p>
            <w:pPr>
              <w:spacing w:after="0" w:line="240" w:lineRule="auto"/>
              <w:keepNext w:val="1"/>
            </w:pPr>
            <w:r>
              <w:rPr>
                <w:b/>
                <w:color w:val="2D3436"/>
                <w:sz w:val="15"/>
              </w:rPr>
              <w:t>Care model</w:t>
            </w:r>
          </w:p>
        </w:tc>
        <w:tc>
          <w:tcPr>
            <w:tcW w:type="dxa" w:w="8568"/>
            <w:shd w:fill="FFFFFF"/>
            <w:tcMar>
              <w:top w:w="42" w:type="dxa"/>
              <w:start w:w="100" w:type="dxa"/>
              <w:bottom w:w="42" w:type="dxa"/>
              <w:end w:w="100" w:type="dxa"/>
            </w:tcMar>
            <w:vAlign w:val="top"/>
          </w:tcPr>
          <w:p>
            <w:pPr>
              <w:spacing w:after="0" w:line="240" w:lineRule="auto"/>
              <w:keepNext w:val="1"/>
            </w:pPr>
            <w:r>
              <w:rPr>
                <w:sz w:val="15"/>
              </w:rPr>
              <w:t>Who delivers which services, under whose clinical governance, with what referral and after-hours coverage?</w:t>
            </w:r>
          </w:p>
        </w:tc>
      </w:tr>
      <w:tr>
        <w:trPr>
          <w:cantSplit w:val="true"/>
          <w:trHeight w:hRule="atLeast"/>
        </w:trPr>
        <w:tc>
          <w:tcPr>
            <w:tcW w:type="dxa" w:w="1872"/>
            <w:shd w:fill="F3F4F4"/>
            <w:tcMar>
              <w:top w:w="42" w:type="dxa"/>
              <w:start w:w="100" w:type="dxa"/>
              <w:bottom w:w="42" w:type="dxa"/>
              <w:end w:w="100" w:type="dxa"/>
            </w:tcMar>
            <w:vAlign w:val="top"/>
          </w:tcPr>
          <w:p>
            <w:pPr>
              <w:spacing w:after="0" w:line="240" w:lineRule="auto"/>
              <w:keepNext w:val="1"/>
            </w:pPr>
            <w:r>
              <w:rPr>
                <w:b/>
                <w:color w:val="2D3436"/>
                <w:sz w:val="15"/>
              </w:rPr>
              <w:t>Workforce</w:t>
            </w:r>
          </w:p>
        </w:tc>
        <w:tc>
          <w:tcPr>
            <w:tcW w:type="dxa" w:w="8568"/>
            <w:shd w:fill="F3F4F4"/>
            <w:tcMar>
              <w:top w:w="42" w:type="dxa"/>
              <w:start w:w="100" w:type="dxa"/>
              <w:bottom w:w="42" w:type="dxa"/>
              <w:end w:w="100" w:type="dxa"/>
            </w:tcMar>
            <w:vAlign w:val="top"/>
          </w:tcPr>
          <w:p>
            <w:pPr>
              <w:spacing w:after="0" w:line="240" w:lineRule="auto"/>
              <w:keepNext w:val="1"/>
            </w:pPr>
            <w:r>
              <w:rPr>
                <w:sz w:val="15"/>
              </w:rPr>
              <w:t>Are funded roles realistically recruitable and retainable without merely moving shortages from a neighbouring community?</w:t>
            </w:r>
          </w:p>
        </w:tc>
      </w:tr>
      <w:tr>
        <w:trPr>
          <w:cantSplit w:val="true"/>
          <w:trHeight w:hRule="atLeast"/>
        </w:trPr>
        <w:tc>
          <w:tcPr>
            <w:tcW w:type="dxa" w:w="1872"/>
            <w:shd w:fill="FFFFFF"/>
            <w:tcMar>
              <w:top w:w="42" w:type="dxa"/>
              <w:start w:w="100" w:type="dxa"/>
              <w:bottom w:w="42" w:type="dxa"/>
              <w:end w:w="100" w:type="dxa"/>
            </w:tcMar>
            <w:vAlign w:val="top"/>
          </w:tcPr>
          <w:p>
            <w:pPr>
              <w:spacing w:after="0" w:line="240" w:lineRule="auto"/>
              <w:keepNext w:val="1"/>
            </w:pPr>
            <w:r>
              <w:rPr>
                <w:b/>
                <w:color w:val="2D3436"/>
                <w:sz w:val="15"/>
              </w:rPr>
              <w:t>Facility</w:t>
            </w:r>
          </w:p>
        </w:tc>
        <w:tc>
          <w:tcPr>
            <w:tcW w:type="dxa" w:w="8568"/>
            <w:shd w:fill="FFFFFF"/>
            <w:tcMar>
              <w:top w:w="42" w:type="dxa"/>
              <w:start w:w="100" w:type="dxa"/>
              <w:bottom w:w="42" w:type="dxa"/>
              <w:end w:w="100" w:type="dxa"/>
            </w:tcMar>
            <w:vAlign w:val="top"/>
          </w:tcPr>
          <w:p>
            <w:pPr>
              <w:spacing w:after="0" w:line="240" w:lineRule="auto"/>
              <w:keepNext w:val="1"/>
            </w:pPr>
            <w:r>
              <w:rPr>
                <w:sz w:val="15"/>
              </w:rPr>
              <w:t>Does the proposed site or capital project follow the care model, or is a mobile, virtual or shared model more effective?</w:t>
            </w:r>
          </w:p>
        </w:tc>
      </w:tr>
      <w:tr>
        <w:trPr>
          <w:cantSplit w:val="true"/>
          <w:trHeight w:hRule="atLeast"/>
        </w:trPr>
        <w:tc>
          <w:tcPr>
            <w:tcW w:type="dxa" w:w="1872"/>
            <w:shd w:fill="F3F4F4"/>
            <w:tcMar>
              <w:top w:w="42" w:type="dxa"/>
              <w:start w:w="100" w:type="dxa"/>
              <w:bottom w:w="42" w:type="dxa"/>
              <w:end w:w="100" w:type="dxa"/>
            </w:tcMar>
            <w:vAlign w:val="top"/>
          </w:tcPr>
          <w:p>
            <w:pPr>
              <w:spacing w:after="0" w:line="240" w:lineRule="auto"/>
            </w:pPr>
            <w:r>
              <w:rPr>
                <w:b/>
                <w:color w:val="2D3436"/>
                <w:sz w:val="15"/>
              </w:rPr>
              <w:t>Evaluation</w:t>
            </w:r>
          </w:p>
        </w:tc>
        <w:tc>
          <w:tcPr>
            <w:tcW w:type="dxa" w:w="8568"/>
            <w:shd w:fill="F3F4F4"/>
            <w:tcMar>
              <w:top w:w="42" w:type="dxa"/>
              <w:start w:w="100" w:type="dxa"/>
              <w:bottom w:w="42" w:type="dxa"/>
              <w:end w:w="100" w:type="dxa"/>
            </w:tcMar>
            <w:vAlign w:val="top"/>
          </w:tcPr>
          <w:p>
            <w:pPr>
              <w:spacing w:after="0" w:line="240" w:lineRule="auto"/>
            </w:pPr>
            <w:r>
              <w:rPr>
                <w:sz w:val="15"/>
              </w:rPr>
              <w:t>Which access, quality and cost thresholds trigger continuation, redesign or closure?</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664"/>
            <w:shd w:fill="244C5A"/>
            <w:tcMar>
              <w:top w:w="58" w:type="dxa"/>
              <w:start w:w="100" w:type="dxa"/>
              <w:bottom w:w="58" w:type="dxa"/>
              <w:end w:w="100" w:type="dxa"/>
            </w:tcMar>
            <w:vAlign w:val="center"/>
          </w:tcPr>
          <w:p>
            <w:pPr>
              <w:spacing w:after="0"/>
            </w:pPr>
            <w:r>
              <w:rPr>
                <w:b/>
                <w:color w:val="FFFFFF"/>
                <w:sz w:val="16"/>
              </w:rPr>
              <w:t>Measure</w:t>
            </w:r>
          </w:p>
        </w:tc>
        <w:tc>
          <w:tcPr>
            <w:tcW w:type="dxa" w:w="7776"/>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Attachment</w:t>
            </w:r>
          </w:p>
        </w:tc>
        <w:tc>
          <w:tcPr>
            <w:tcW w:type="dxa" w:w="7776"/>
            <w:shd w:fill="FFFFFF"/>
            <w:tcMar>
              <w:top w:w="42" w:type="dxa"/>
              <w:start w:w="100" w:type="dxa"/>
              <w:bottom w:w="42" w:type="dxa"/>
              <w:end w:w="100" w:type="dxa"/>
            </w:tcMar>
            <w:vAlign w:val="top"/>
          </w:tcPr>
          <w:p>
            <w:pPr>
              <w:spacing w:after="0" w:line="240" w:lineRule="auto"/>
            </w:pPr>
            <w:r>
              <w:rPr>
                <w:sz w:val="15"/>
              </w:rPr>
              <w:t>Share of residents with a regular primary-care provider or team, using the applicable provincial or CIHI definition.</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Timely access</w:t>
            </w:r>
          </w:p>
        </w:tc>
        <w:tc>
          <w:tcPr>
            <w:tcW w:type="dxa" w:w="7776"/>
            <w:shd w:fill="F3F4F4"/>
            <w:tcMar>
              <w:top w:w="42" w:type="dxa"/>
              <w:start w:w="100" w:type="dxa"/>
              <w:bottom w:w="42" w:type="dxa"/>
              <w:end w:w="100" w:type="dxa"/>
            </w:tcMar>
            <w:vAlign w:val="top"/>
          </w:tcPr>
          <w:p>
            <w:pPr>
              <w:spacing w:after="0" w:line="240" w:lineRule="auto"/>
            </w:pPr>
            <w:r>
              <w:rPr>
                <w:sz w:val="15"/>
              </w:rPr>
              <w:t>Same- or next-day access and third-next-available appointment; define service type and clock start.</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Continuity</w:t>
            </w:r>
          </w:p>
        </w:tc>
        <w:tc>
          <w:tcPr>
            <w:tcW w:type="dxa" w:w="7776"/>
            <w:shd w:fill="FFFFFF"/>
            <w:tcMar>
              <w:top w:w="42" w:type="dxa"/>
              <w:start w:w="100" w:type="dxa"/>
              <w:bottom w:w="42" w:type="dxa"/>
              <w:end w:w="100" w:type="dxa"/>
            </w:tcMar>
            <w:vAlign w:val="top"/>
          </w:tcPr>
          <w:p>
            <w:pPr>
              <w:spacing w:after="0" w:line="240" w:lineRule="auto"/>
            </w:pPr>
            <w:r>
              <w:rPr>
                <w:sz w:val="15"/>
              </w:rPr>
              <w:t>Share of care delivered by the regular provider or team and completed follow-up after discharge or referral.</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Potentially avoidable use</w:t>
            </w:r>
          </w:p>
        </w:tc>
        <w:tc>
          <w:tcPr>
            <w:tcW w:type="dxa" w:w="7776"/>
            <w:shd w:fill="F3F4F4"/>
            <w:tcMar>
              <w:top w:w="42" w:type="dxa"/>
              <w:start w:w="100" w:type="dxa"/>
              <w:bottom w:w="42" w:type="dxa"/>
              <w:end w:w="100" w:type="dxa"/>
            </w:tcMar>
            <w:vAlign w:val="top"/>
          </w:tcPr>
          <w:p>
            <w:pPr>
              <w:spacing w:after="0" w:line="240" w:lineRule="auto"/>
            </w:pPr>
            <w:r>
              <w:rPr>
                <w:sz w:val="15"/>
              </w:rPr>
              <w:t>Emergency visits for conditions potentially manageable in primary care, interpreted with case mix and local service availability; not every such visit is avoidable.</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Travel and missed care</w:t>
            </w:r>
          </w:p>
        </w:tc>
        <w:tc>
          <w:tcPr>
            <w:tcW w:type="dxa" w:w="7776"/>
            <w:shd w:fill="FFFFFF"/>
            <w:tcMar>
              <w:top w:w="42" w:type="dxa"/>
              <w:start w:w="100" w:type="dxa"/>
              <w:bottom w:w="42" w:type="dxa"/>
              <w:end w:w="100" w:type="dxa"/>
            </w:tcMar>
            <w:vAlign w:val="top"/>
          </w:tcPr>
          <w:p>
            <w:pPr>
              <w:spacing w:after="0" w:line="240" w:lineRule="auto"/>
            </w:pPr>
            <w:r>
              <w:rPr>
                <w:sz w:val="15"/>
              </w:rPr>
              <w:t>Median travel time, missed appointments and transport-related cancellations by community and accessibility need.</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Workforce</w:t>
            </w:r>
          </w:p>
        </w:tc>
        <w:tc>
          <w:tcPr>
            <w:tcW w:type="dxa" w:w="7776"/>
            <w:shd w:fill="F3F4F4"/>
            <w:tcMar>
              <w:top w:w="42" w:type="dxa"/>
              <w:start w:w="100" w:type="dxa"/>
              <w:bottom w:w="42" w:type="dxa"/>
              <w:end w:w="100" w:type="dxa"/>
            </w:tcMar>
            <w:vAlign w:val="top"/>
          </w:tcPr>
          <w:p>
            <w:pPr>
              <w:spacing w:after="0" w:line="240" w:lineRule="auto"/>
            </w:pPr>
            <w:r>
              <w:rPr>
                <w:sz w:val="15"/>
              </w:rPr>
              <w:t>Funded vacancies, time to fill, turnover and 12- and 24-month retention by role.</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Quality and safety</w:t>
            </w:r>
          </w:p>
        </w:tc>
        <w:tc>
          <w:tcPr>
            <w:tcW w:type="dxa" w:w="7776"/>
            <w:shd w:fill="FFFFFF"/>
            <w:tcMar>
              <w:top w:w="42" w:type="dxa"/>
              <w:start w:w="100" w:type="dxa"/>
              <w:bottom w:w="42" w:type="dxa"/>
              <w:end w:w="100" w:type="dxa"/>
            </w:tcMar>
            <w:vAlign w:val="top"/>
          </w:tcPr>
          <w:p>
            <w:pPr>
              <w:spacing w:after="0" w:line="240" w:lineRule="auto"/>
            </w:pPr>
            <w:r>
              <w:rPr>
                <w:sz w:val="15"/>
              </w:rPr>
              <w:t>Provincially required indicators, complaints, adverse events, readmissions and patient-reported experience; use risk adjustment where required.</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Full public cost</w:t>
            </w:r>
          </w:p>
        </w:tc>
        <w:tc>
          <w:tcPr>
            <w:tcW w:type="dxa" w:w="7776"/>
            <w:shd w:fill="F3F4F4"/>
            <w:tcMar>
              <w:top w:w="42" w:type="dxa"/>
              <w:start w:w="100" w:type="dxa"/>
              <w:bottom w:w="42" w:type="dxa"/>
              <w:end w:w="100" w:type="dxa"/>
            </w:tcMar>
            <w:vAlign w:val="top"/>
          </w:tcPr>
          <w:p>
            <w:pPr>
              <w:spacing w:after="0" w:line="240" w:lineRule="auto"/>
            </w:pPr>
            <w:r>
              <w:rPr>
                <w:sz w:val="15"/>
              </w:rPr>
              <w:t>Municipal, provincial and other operating and capital contributions per service unit, with building costs separated from care costs.</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Canada’s public healthcare roles are established: provinces and territories organize and deliver insured services, while federal law sets Canada Health Act criteria and federal funding conditions. CIHI publishes access and primary-care indicators.</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Local attachment, waits, travel, utilization, health-equity gaps, referral patterns, funded workforce, facility capacity, patient experience, cost and provincial authorization.</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Municipal coordination or management could improve access by aligning facilities, workforce housing, transit, energy and digital systems. The effect and cost must be demonstrated through an agreed service model and evaluation.</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Healthcare Autonomy does not transfer constitutional authority, replace provincial funding and oversight, permit political clinical direction, or guarantee that a new building will reduce waits or emergency use.</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448"/>
            <w:shd w:fill="244C5A"/>
            <w:tcMar>
              <w:top w:w="58" w:type="dxa"/>
              <w:start w:w="100" w:type="dxa"/>
              <w:bottom w:w="58" w:type="dxa"/>
              <w:end w:w="100" w:type="dxa"/>
            </w:tcMar>
            <w:vAlign w:val="center"/>
          </w:tcPr>
          <w:p>
            <w:pPr>
              <w:spacing w:after="0"/>
              <w:keepNext w:val="1"/>
            </w:pPr>
            <w:r>
              <w:rPr>
                <w:b/>
                <w:color w:val="FFFFFF"/>
                <w:sz w:val="16"/>
              </w:rPr>
              <w:t>Risk</w:t>
            </w:r>
          </w:p>
        </w:tc>
        <w:tc>
          <w:tcPr>
            <w:tcW w:type="dxa" w:w="7992"/>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Unfunded service commitment</w:t>
            </w:r>
          </w:p>
        </w:tc>
        <w:tc>
          <w:tcPr>
            <w:tcW w:type="dxa" w:w="7992"/>
            <w:shd w:fill="FFFFFF"/>
            <w:tcMar>
              <w:top w:w="42" w:type="dxa"/>
              <w:start w:w="100" w:type="dxa"/>
              <w:bottom w:w="42" w:type="dxa"/>
              <w:end w:w="100" w:type="dxa"/>
            </w:tcMar>
            <w:vAlign w:val="top"/>
          </w:tcPr>
          <w:p>
            <w:pPr>
              <w:spacing w:after="0" w:line="240" w:lineRule="auto"/>
              <w:keepNext w:val="1"/>
            </w:pPr>
            <w:r>
              <w:rPr>
                <w:sz w:val="15"/>
              </w:rPr>
              <w:t>Binding multi-year operating agreement, escalation terms and no capital approval without a service envelope.</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Clinical interference</w:t>
            </w:r>
          </w:p>
        </w:tc>
        <w:tc>
          <w:tcPr>
            <w:tcW w:type="dxa" w:w="7992"/>
            <w:shd w:fill="F3F4F4"/>
            <w:tcMar>
              <w:top w:w="42" w:type="dxa"/>
              <w:start w:w="100" w:type="dxa"/>
              <w:bottom w:w="42" w:type="dxa"/>
              <w:end w:w="100" w:type="dxa"/>
            </w:tcMar>
            <w:vAlign w:val="top"/>
          </w:tcPr>
          <w:p>
            <w:pPr>
              <w:spacing w:after="0" w:line="240" w:lineRule="auto"/>
              <w:keepNext w:val="1"/>
            </w:pPr>
            <w:r>
              <w:rPr>
                <w:sz w:val="15"/>
              </w:rPr>
              <w:t>Arm’s-length board, medical leadership, credentialing and protected clinical decision-making.</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Recruitment displacement</w:t>
            </w:r>
          </w:p>
        </w:tc>
        <w:tc>
          <w:tcPr>
            <w:tcW w:type="dxa" w:w="7992"/>
            <w:shd w:fill="FFFFFF"/>
            <w:tcMar>
              <w:top w:w="42" w:type="dxa"/>
              <w:start w:w="100" w:type="dxa"/>
              <w:bottom w:w="42" w:type="dxa"/>
              <w:end w:w="100" w:type="dxa"/>
            </w:tcMar>
            <w:vAlign w:val="top"/>
          </w:tcPr>
          <w:p>
            <w:pPr>
              <w:spacing w:after="0" w:line="240" w:lineRule="auto"/>
              <w:keepNext w:val="1"/>
            </w:pPr>
            <w:r>
              <w:rPr>
                <w:sz w:val="15"/>
              </w:rPr>
              <w:t>Regional workforce analysis and retention strategy; report origin of recruits where lawful and useful.</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Facility-led planning</w:t>
            </w:r>
          </w:p>
        </w:tc>
        <w:tc>
          <w:tcPr>
            <w:tcW w:type="dxa" w:w="7992"/>
            <w:shd w:fill="F3F4F4"/>
            <w:tcMar>
              <w:top w:w="42" w:type="dxa"/>
              <w:start w:w="100" w:type="dxa"/>
              <w:bottom w:w="42" w:type="dxa"/>
              <w:end w:w="100" w:type="dxa"/>
            </w:tcMar>
            <w:vAlign w:val="top"/>
          </w:tcPr>
          <w:p>
            <w:pPr>
              <w:spacing w:after="0" w:line="240" w:lineRule="auto"/>
              <w:keepNext w:val="1"/>
            </w:pPr>
            <w:r>
              <w:rPr>
                <w:sz w:val="15"/>
              </w:rPr>
              <w:t>Approve care pathways and demand before selecting or expanding a building.</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Privacy or cyber failure</w:t>
            </w:r>
          </w:p>
        </w:tc>
        <w:tc>
          <w:tcPr>
            <w:tcW w:type="dxa" w:w="7992"/>
            <w:shd w:fill="FFFFFF"/>
            <w:tcMar>
              <w:top w:w="42" w:type="dxa"/>
              <w:start w:w="100" w:type="dxa"/>
              <w:bottom w:w="42" w:type="dxa"/>
              <w:end w:w="100" w:type="dxa"/>
            </w:tcMar>
            <w:vAlign w:val="top"/>
          </w:tcPr>
          <w:p>
            <w:pPr>
              <w:spacing w:after="0" w:line="240" w:lineRule="auto"/>
              <w:keepNext w:val="1"/>
            </w:pPr>
            <w:r>
              <w:rPr>
                <w:sz w:val="15"/>
              </w:rPr>
              <w:t>Provincial health-information compliance, minimum-data design, security testing and incident response.</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pPr>
            <w:r>
              <w:rPr>
                <w:b/>
                <w:color w:val="2D3436"/>
                <w:sz w:val="15"/>
              </w:rPr>
              <w:t>Attribution error</w:t>
            </w:r>
          </w:p>
        </w:tc>
        <w:tc>
          <w:tcPr>
            <w:tcW w:type="dxa" w:w="7992"/>
            <w:shd w:fill="F3F4F4"/>
            <w:tcMar>
              <w:top w:w="42" w:type="dxa"/>
              <w:start w:w="100" w:type="dxa"/>
              <w:bottom w:w="42" w:type="dxa"/>
              <w:end w:w="100" w:type="dxa"/>
            </w:tcMar>
            <w:vAlign w:val="top"/>
          </w:tcPr>
          <w:p>
            <w:pPr>
              <w:spacing w:after="0" w:line="240" w:lineRule="auto"/>
            </w:pPr>
            <w:r>
              <w:rPr>
                <w:sz w:val="15"/>
              </w:rPr>
              <w:t>Use comparison periods or sites where possible and report concurrent provincial or demographic changes.</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HC1  </w:t>
      </w:r>
      <w:hyperlink r:id="rId19">
        <w:r>
          <w:rPr>
            <w:color w:val="244C5A"/>
            <w:u w:val="single"/>
            <w:rFonts w:ascii="Aptos" w:hAnsi="Aptos"/>
          </w:rPr>
          <w:t>Health Canada Canada’s health care system</w:t>
        </w:r>
      </w:hyperlink>
      <w:r>
        <w:t xml:space="preserve"> — Describes federal, provincial and territorial roles.</w:t>
      </w:r>
    </w:p>
    <w:p>
      <w:pPr>
        <w:pStyle w:val="Source"/>
      </w:pPr>
      <w:r>
        <w:rPr>
          <w:b/>
        </w:rPr>
        <w:t xml:space="preserve">HC2  </w:t>
      </w:r>
      <w:hyperlink r:id="rId20">
        <w:r>
          <w:rPr>
            <w:color w:val="244C5A"/>
            <w:u w:val="single"/>
            <w:rFonts w:ascii="Aptos" w:hAnsi="Aptos"/>
          </w:rPr>
          <w:t>Canada Health Act section 8</w:t>
        </w:r>
      </w:hyperlink>
      <w:r>
        <w:t xml:space="preserve"> — Public-administration criterion for a provincial health insurance plan.</w:t>
      </w:r>
    </w:p>
    <w:p>
      <w:pPr>
        <w:pStyle w:val="Source"/>
      </w:pPr>
      <w:r>
        <w:rPr>
          <w:b/>
        </w:rPr>
        <w:t xml:space="preserve">HC3  </w:t>
      </w:r>
      <w:hyperlink r:id="rId21">
        <w:r>
          <w:rPr>
            <w:color w:val="244C5A"/>
            <w:u w:val="single"/>
            <w:rFonts w:ascii="Aptos" w:hAnsi="Aptos"/>
          </w:rPr>
          <w:t>Canada Health Act section 12</w:t>
        </w:r>
      </w:hyperlink>
      <w:r>
        <w:t xml:space="preserve"> — Accessibility criterion.</w:t>
      </w:r>
    </w:p>
    <w:p>
      <w:pPr>
        <w:pStyle w:val="Source"/>
      </w:pPr>
      <w:r>
        <w:rPr>
          <w:b/>
        </w:rPr>
        <w:t xml:space="preserve">HC4  </w:t>
      </w:r>
      <w:hyperlink r:id="rId22">
        <w:r>
          <w:rPr>
            <w:color w:val="244C5A"/>
            <w:u w:val="single"/>
            <w:rFonts w:ascii="Aptos" w:hAnsi="Aptos"/>
          </w:rPr>
          <w:t>CIHI Primary and virtual care access and emergency visits</w:t>
        </w:r>
      </w:hyperlink>
      <w:r>
        <w:t xml:space="preserve"> — Provides measured context and cautions that primary care alone will not solve emergency-department overcrowding.</w:t>
      </w:r>
    </w:p>
    <w:p>
      <w:pPr>
        <w:pStyle w:val="Source"/>
      </w:pPr>
      <w:r>
        <w:rPr>
          <w:b/>
        </w:rPr>
        <w:t xml:space="preserve">HC5  </w:t>
      </w:r>
      <w:hyperlink r:id="rId23">
        <w:r>
          <w:rPr>
            <w:color w:val="244C5A"/>
            <w:u w:val="single"/>
            <w:rFonts w:ascii="Aptos" w:hAnsi="Aptos"/>
          </w:rPr>
          <w:t>CIHI Primary care indicators</w:t>
        </w:r>
      </w:hyperlink>
      <w:r>
        <w:t xml:space="preserve"> — Indicator definitions for local measurement planning.</w:t>
      </w:r>
    </w:p>
    <w:p>
      <w:r>
        <w:br w:type="page"/>
      </w:r>
    </w:p>
    <w:p>
      <w:pPr>
        <w:pStyle w:val="Kicker"/>
        <w:keepNext w:val="1"/>
        <w:keepLines w:val="1"/>
      </w:pPr>
      <w:r>
        <w:t>AUTONOMY 05  |  SUGGESTED SLUG /TRANSPORTATION-AUTONOMY</w:t>
      </w:r>
    </w:p>
    <w:p>
      <w:pPr>
        <w:pStyle w:val="TitlePage"/>
        <w:keepNext w:val="1"/>
        <w:keepLines w:val="1"/>
      </w:pPr>
      <w:bookmarkStart w:id="575824" w:name="transportation"/>
      <w:bookmarkEnd w:id="575824"/>
      <w:r>
        <w:t>Transportation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Transportation Autonomy is the municipal capacity to plan, own, procure, operate or coordinate reliable mobility that connects residents to housing, work, food, healthcare, education and training.</w:t>
            </w:r>
          </w:p>
        </w:tc>
      </w:tr>
    </w:tbl>
    <w:p>
      <w:pPr>
        <w:spacing w:after="0"/>
      </w:pPr>
    </w:p>
    <w:p>
      <w:pPr>
        <w:pStyle w:val="Heading1"/>
        <w:keepNext w:val="1"/>
        <w:keepLines w:val="1"/>
      </w:pPr>
      <w:r>
        <w:t>Why this component exists</w:t>
      </w:r>
    </w:p>
    <w:p>
      <w:pPr>
        <w:pStyle w:val="BodyText"/>
      </w:pPr>
      <w:r>
        <w:t>A service is not accessible if residents cannot reach it at the required time, cost and level of mobility. Transportation therefore acts as the connective operating layer across CDMM. Conventional fixed routes may work in dense corridors; low-density, rural, shift-work or specialized trips may require on-demand, regional, community or contracted designs. The objective is a measurable access standard, not attachment to one vehicle or operating model.</w:t>
      </w:r>
    </w:p>
    <w:p>
      <w:pPr>
        <w:pStyle w:val="BodyText"/>
      </w:pPr>
      <w:r>
        <w:t>Municipal transportation decisions must distinguish coverage, frequency, reliability, accessibility, travel time, cost and environmental performance. Free or low fares can be evaluated as policy options, but fare reduction does not repair poor coverage or unreliable service, and it requires an explicit operating source.</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Passenger services</w:t>
            </w:r>
          </w:p>
        </w:tc>
        <w:tc>
          <w:tcPr>
            <w:tcW w:type="dxa" w:w="7560"/>
            <w:shd w:fill="FFFFFF"/>
            <w:tcMar>
              <w:top w:w="68" w:type="dxa"/>
              <w:start w:w="100" w:type="dxa"/>
              <w:bottom w:w="68" w:type="dxa"/>
              <w:end w:w="100" w:type="dxa"/>
            </w:tcMar>
            <w:vAlign w:val="top"/>
          </w:tcPr>
          <w:p>
            <w:pPr>
              <w:spacing w:after="0" w:line="240" w:lineRule="auto"/>
              <w:keepNext w:val="1"/>
            </w:pPr>
            <w:r>
              <w:rPr>
                <w:sz w:val="17"/>
              </w:rPr>
              <w:t>Fixed-route, on-demand, community shuttle, specialized accessible transit and regional connections.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Supporting assets</w:t>
            </w:r>
          </w:p>
        </w:tc>
        <w:tc>
          <w:tcPr>
            <w:tcW w:type="dxa" w:w="7560"/>
            <w:shd w:fill="F3F4F4"/>
            <w:tcMar>
              <w:top w:w="68" w:type="dxa"/>
              <w:start w:w="100" w:type="dxa"/>
              <w:bottom w:w="68" w:type="dxa"/>
              <w:end w:w="100" w:type="dxa"/>
            </w:tcMar>
            <w:vAlign w:val="top"/>
          </w:tcPr>
          <w:p>
            <w:pPr>
              <w:spacing w:after="0" w:line="240" w:lineRule="auto"/>
              <w:keepNext w:val="1"/>
            </w:pPr>
            <w:r>
              <w:rPr>
                <w:sz w:val="17"/>
              </w:rPr>
              <w:t>Vehicles, depots, charging or fueling coordination, stops, shelters, dispatch, fare systems, maintenance and passenger information.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Active connections</w:t>
            </w:r>
          </w:p>
        </w:tc>
        <w:tc>
          <w:tcPr>
            <w:tcW w:type="dxa" w:w="7560"/>
            <w:shd w:fill="FFFFFF"/>
            <w:tcMar>
              <w:top w:w="68" w:type="dxa"/>
              <w:start w:w="100" w:type="dxa"/>
              <w:bottom w:w="68" w:type="dxa"/>
              <w:end w:w="100" w:type="dxa"/>
            </w:tcMar>
            <w:vAlign w:val="top"/>
          </w:tcPr>
          <w:p>
            <w:pPr>
              <w:spacing w:after="0" w:line="240" w:lineRule="auto"/>
              <w:keepNext w:val="1"/>
            </w:pPr>
            <w:r>
              <w:rPr>
                <w:sz w:val="17"/>
              </w:rPr>
              <w:t>Walking, wheeling and cycling links where they complete access to essential destinations and transit.</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Shared logistics</w:t>
            </w:r>
          </w:p>
        </w:tc>
        <w:tc>
          <w:tcPr>
            <w:tcW w:type="dxa" w:w="7560"/>
            <w:shd w:fill="F3F4F4"/>
            <w:tcMar>
              <w:top w:w="68" w:type="dxa"/>
              <w:start w:w="100" w:type="dxa"/>
              <w:bottom w:w="68" w:type="dxa"/>
              <w:end w:w="100" w:type="dxa"/>
            </w:tcMar>
            <w:vAlign w:val="top"/>
          </w:tcPr>
          <w:p>
            <w:pPr>
              <w:spacing w:after="0" w:line="240" w:lineRule="auto"/>
              <w:keepNext w:val="1"/>
            </w:pPr>
            <w:r>
              <w:rPr>
                <w:sz w:val="17"/>
              </w:rPr>
              <w:t>Coordination with grocery, healthcare and municipal deliveries where it does not compromise passenger safety, service or transparent costing.</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Regional modes</w:t>
            </w:r>
          </w:p>
        </w:tc>
        <w:tc>
          <w:tcPr>
            <w:tcW w:type="dxa" w:w="7560"/>
            <w:shd w:fill="FFFFFF"/>
            <w:tcMar>
              <w:top w:w="68" w:type="dxa"/>
              <w:start w:w="100" w:type="dxa"/>
              <w:bottom w:w="68" w:type="dxa"/>
              <w:end w:w="100" w:type="dxa"/>
            </w:tcMar>
            <w:vAlign w:val="top"/>
          </w:tcPr>
          <w:p>
            <w:pPr>
              <w:spacing w:after="0" w:line="240" w:lineRule="auto"/>
              <w:keepNext w:val="1"/>
            </w:pPr>
            <w:r>
              <w:rPr>
                <w:sz w:val="17"/>
              </w:rPr>
              <w:t>Intermunicipal routes and connections to provincial roads, rail, ferry or air through agreement; CDMM does not assign municipal control over systems outside local authority.</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Fare policy</w:t>
            </w:r>
          </w:p>
        </w:tc>
        <w:tc>
          <w:tcPr>
            <w:tcW w:type="dxa" w:w="7560"/>
            <w:shd w:fill="F3F4F4"/>
            <w:tcMar>
              <w:top w:w="68" w:type="dxa"/>
              <w:start w:w="100" w:type="dxa"/>
              <w:bottom w:w="68" w:type="dxa"/>
              <w:end w:w="100" w:type="dxa"/>
            </w:tcMar>
            <w:vAlign w:val="top"/>
          </w:tcPr>
          <w:p>
            <w:pPr>
              <w:spacing w:after="0" w:line="240" w:lineRule="auto"/>
            </w:pPr>
            <w:r>
              <w:rPr>
                <w:sz w:val="17"/>
              </w:rPr>
              <w:t>Conventional, capped, discounted, free or integrated fares only with a stated objective, funding source and evaluation.</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Map origin, destination, trip purpose, time, accessibility need and unmet trips—not only aggregate commuting patterns.</w:t>
      </w:r>
    </w:p>
    <w:p>
      <w:pPr>
        <w:pStyle w:val="BodyText"/>
        <w:ind w:left="432" w:hanging="317"/>
        <w:keepLines w:val="1"/>
      </w:pPr>
      <w:r>
        <w:rPr>
          <w:b/>
        </w:rPr>
        <w:t xml:space="preserve">2.  </w:t>
      </w:r>
      <w:r>
        <w:t>Set service standards for coverage, booking, wait, travel time, span, reliability, accessibility and passenger information.</w:t>
      </w:r>
    </w:p>
    <w:p>
      <w:pPr>
        <w:pStyle w:val="BodyText"/>
        <w:ind w:left="432" w:hanging="317"/>
        <w:keepLines w:val="1"/>
      </w:pPr>
      <w:r>
        <w:rPr>
          <w:b/>
        </w:rPr>
        <w:t xml:space="preserve">3.  </w:t>
      </w:r>
      <w:r>
        <w:t>Design fixed, demand-responsive, contracted and regional options around demand density and the operating needs of the other Autonomies.</w:t>
      </w:r>
    </w:p>
    <w:p>
      <w:pPr>
        <w:pStyle w:val="BodyText"/>
        <w:ind w:left="432" w:hanging="317"/>
        <w:keepLines w:val="1"/>
      </w:pPr>
      <w:r>
        <w:rPr>
          <w:b/>
        </w:rPr>
        <w:t xml:space="preserve">4.  </w:t>
      </w:r>
      <w:r>
        <w:t>Model vehicles, labour, maintenance, energy or fuel, dispatch, insurance, facilities, technology, revenue and required public support over the asset life.</w:t>
      </w:r>
    </w:p>
    <w:p>
      <w:pPr>
        <w:pStyle w:val="BodyText"/>
        <w:ind w:left="432" w:hanging="317"/>
        <w:keepLines w:val="1"/>
      </w:pPr>
      <w:r>
        <w:rPr>
          <w:b/>
        </w:rPr>
        <w:t xml:space="preserve">5.  </w:t>
      </w:r>
      <w:r>
        <w:t>Pilot routes or zones with pre-agreed thresholds and active passenger feedback; protect accessible service from being treated as residual capacity.</w:t>
      </w:r>
    </w:p>
    <w:p>
      <w:pPr>
        <w:pStyle w:val="BodyText"/>
        <w:ind w:left="432" w:hanging="317"/>
        <w:keepLines w:val="1"/>
      </w:pPr>
      <w:r>
        <w:rPr>
          <w:b/>
        </w:rPr>
        <w:t xml:space="preserve">6.  </w:t>
      </w:r>
      <w:r>
        <w:t>Integrate land use and essential destinations, then revise service based on actual trip patterns and outcomes.</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keepNext w:val="1"/>
            </w:pPr>
            <w:r>
              <w:rPr>
                <w:b/>
                <w:color w:val="FFFFFF"/>
                <w:sz w:val="16"/>
              </w:rPr>
              <w:t>Connection</w:t>
            </w:r>
          </w:p>
        </w:tc>
        <w:tc>
          <w:tcPr>
            <w:tcW w:type="dxa" w:w="7920"/>
            <w:shd w:fill="244C5A"/>
            <w:tcMar>
              <w:top w:w="58" w:type="dxa"/>
              <w:start w:w="100" w:type="dxa"/>
              <w:bottom w:w="58" w:type="dxa"/>
              <w:end w:w="100" w:type="dxa"/>
            </w:tcMar>
            <w:vAlign w:val="center"/>
          </w:tcPr>
          <w:p>
            <w:pPr>
              <w:spacing w:after="0"/>
              <w:keepNext w:val="1"/>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Housing</w:t>
            </w:r>
          </w:p>
        </w:tc>
        <w:tc>
          <w:tcPr>
            <w:tcW w:type="dxa" w:w="7920"/>
            <w:shd w:fill="FFFFFF"/>
            <w:tcMar>
              <w:top w:w="42" w:type="dxa"/>
              <w:start w:w="100" w:type="dxa"/>
              <w:bottom w:w="42" w:type="dxa"/>
              <w:end w:w="100" w:type="dxa"/>
            </w:tcMar>
            <w:vAlign w:val="top"/>
          </w:tcPr>
          <w:p>
            <w:pPr>
              <w:spacing w:after="0" w:line="240" w:lineRule="auto"/>
              <w:keepNext w:val="1"/>
            </w:pPr>
            <w:r>
              <w:rPr>
                <w:sz w:val="15"/>
              </w:rPr>
              <w:t>Site selection and density shape viable service; transportation cost is part of household affordability.</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Healthcare</w:t>
            </w:r>
          </w:p>
        </w:tc>
        <w:tc>
          <w:tcPr>
            <w:tcW w:type="dxa" w:w="7920"/>
            <w:shd w:fill="F3F4F4"/>
            <w:tcMar>
              <w:top w:w="42" w:type="dxa"/>
              <w:start w:w="100" w:type="dxa"/>
              <w:bottom w:w="42" w:type="dxa"/>
              <w:end w:w="100" w:type="dxa"/>
            </w:tcMar>
            <w:vAlign w:val="top"/>
          </w:tcPr>
          <w:p>
            <w:pPr>
              <w:spacing w:after="0" w:line="240" w:lineRule="auto"/>
              <w:keepNext w:val="1"/>
            </w:pPr>
            <w:r>
              <w:rPr>
                <w:sz w:val="15"/>
              </w:rPr>
              <w:t>Access standards should include appointments, shift changes, mobility needs and missed-care outcomes.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Municipal Grocery</w:t>
            </w:r>
          </w:p>
        </w:tc>
        <w:tc>
          <w:tcPr>
            <w:tcW w:type="dxa" w:w="7920"/>
            <w:shd w:fill="FFFFFF"/>
            <w:tcMar>
              <w:top w:w="42" w:type="dxa"/>
              <w:start w:w="100" w:type="dxa"/>
              <w:bottom w:w="42" w:type="dxa"/>
              <w:end w:w="100" w:type="dxa"/>
            </w:tcMar>
            <w:vAlign w:val="top"/>
          </w:tcPr>
          <w:p>
            <w:pPr>
              <w:spacing w:after="0" w:line="240" w:lineRule="auto"/>
              <w:keepNext w:val="1"/>
            </w:pPr>
            <w:r>
              <w:rPr>
                <w:sz w:val="15"/>
              </w:rPr>
              <w:t>Routes and delivery models determine access for households without a vehicle.</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Workforce &amp; Skills</w:t>
            </w:r>
          </w:p>
        </w:tc>
        <w:tc>
          <w:tcPr>
            <w:tcW w:type="dxa" w:w="7920"/>
            <w:shd w:fill="F3F4F4"/>
            <w:tcMar>
              <w:top w:w="42" w:type="dxa"/>
              <w:start w:w="100" w:type="dxa"/>
              <w:bottom w:w="42" w:type="dxa"/>
              <w:end w:w="100" w:type="dxa"/>
            </w:tcMar>
            <w:vAlign w:val="top"/>
          </w:tcPr>
          <w:p>
            <w:pPr>
              <w:spacing w:after="0" w:line="240" w:lineRule="auto"/>
              <w:keepNext w:val="1"/>
            </w:pPr>
            <w:r>
              <w:rPr>
                <w:sz w:val="15"/>
              </w:rPr>
              <w:t>Service links residents to jobs and training; operators need drivers, mechanics, dispatchers and planners.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Fuel and Energy</w:t>
            </w:r>
          </w:p>
        </w:tc>
        <w:tc>
          <w:tcPr>
            <w:tcW w:type="dxa" w:w="7920"/>
            <w:shd w:fill="FFFFFF"/>
            <w:tcMar>
              <w:top w:w="42" w:type="dxa"/>
              <w:start w:w="100" w:type="dxa"/>
              <w:bottom w:w="42" w:type="dxa"/>
              <w:end w:w="100" w:type="dxa"/>
            </w:tcMar>
            <w:vAlign w:val="top"/>
          </w:tcPr>
          <w:p>
            <w:pPr>
              <w:spacing w:after="0" w:line="240" w:lineRule="auto"/>
              <w:keepNext w:val="1"/>
            </w:pPr>
            <w:r>
              <w:rPr>
                <w:sz w:val="15"/>
              </w:rPr>
              <w:t>Fleet cost and resilience depend on fuel supply, charging, power capacity and vehicle transition timing.</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Digital &amp; Communications</w:t>
            </w:r>
          </w:p>
        </w:tc>
        <w:tc>
          <w:tcPr>
            <w:tcW w:type="dxa" w:w="7920"/>
            <w:shd w:fill="F3F4F4"/>
            <w:tcMar>
              <w:top w:w="42" w:type="dxa"/>
              <w:start w:w="100" w:type="dxa"/>
              <w:bottom w:w="42" w:type="dxa"/>
              <w:end w:w="100" w:type="dxa"/>
            </w:tcMar>
            <w:vAlign w:val="top"/>
          </w:tcPr>
          <w:p>
            <w:pPr>
              <w:spacing w:after="0" w:line="240" w:lineRule="auto"/>
            </w:pPr>
            <w:r>
              <w:rPr>
                <w:sz w:val="15"/>
              </w:rPr>
              <w:t>On-demand booking, real-time information, dispatch and payments need connectivity, with non-digital access retained.</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76"/>
            <w:shd w:fill="244C5A"/>
            <w:tcMar>
              <w:top w:w="58" w:type="dxa"/>
              <w:start w:w="100" w:type="dxa"/>
              <w:bottom w:w="58" w:type="dxa"/>
              <w:end w:w="100" w:type="dxa"/>
            </w:tcMar>
            <w:vAlign w:val="center"/>
          </w:tcPr>
          <w:p>
            <w:pPr>
              <w:spacing w:after="0"/>
              <w:keepNext w:val="1"/>
            </w:pPr>
            <w:r>
              <w:rPr>
                <w:b/>
                <w:color w:val="FFFFFF"/>
                <w:sz w:val="16"/>
              </w:rPr>
              <w:t>Actor</w:t>
            </w:r>
          </w:p>
        </w:tc>
        <w:tc>
          <w:tcPr>
            <w:tcW w:type="dxa" w:w="8064"/>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064"/>
            <w:shd w:fill="FFFFFF"/>
            <w:tcMar>
              <w:top w:w="42" w:type="dxa"/>
              <w:start w:w="100" w:type="dxa"/>
              <w:bottom w:w="42" w:type="dxa"/>
              <w:end w:w="100" w:type="dxa"/>
            </w:tcMar>
            <w:vAlign w:val="top"/>
          </w:tcPr>
          <w:p>
            <w:pPr>
              <w:spacing w:after="0" w:line="240" w:lineRule="auto"/>
              <w:keepNext w:val="1"/>
            </w:pPr>
            <w:r>
              <w:rPr>
                <w:sz w:val="15"/>
              </w:rPr>
              <w:t>Local service planning, procurement or operation, land-use integration, accessibility, fare policy and performance reporting within provincial law.</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064"/>
            <w:shd w:fill="F3F4F4"/>
            <w:tcMar>
              <w:top w:w="42" w:type="dxa"/>
              <w:start w:w="100" w:type="dxa"/>
              <w:bottom w:w="42" w:type="dxa"/>
              <w:end w:w="100" w:type="dxa"/>
            </w:tcMar>
            <w:vAlign w:val="top"/>
          </w:tcPr>
          <w:p>
            <w:pPr>
              <w:spacing w:after="0" w:line="240" w:lineRule="auto"/>
              <w:keepNext w:val="1"/>
            </w:pPr>
            <w:r>
              <w:rPr>
                <w:sz w:val="15"/>
              </w:rPr>
              <w:t>Municipal and transport law, vehicle and operator safety, provincial or regional infrastructure, accessibility requirements and funding roles.</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Federal government</w:t>
            </w:r>
          </w:p>
        </w:tc>
        <w:tc>
          <w:tcPr>
            <w:tcW w:type="dxa" w:w="8064"/>
            <w:shd w:fill="FFFFFF"/>
            <w:tcMar>
              <w:top w:w="42" w:type="dxa"/>
              <w:start w:w="100" w:type="dxa"/>
              <w:bottom w:w="42" w:type="dxa"/>
              <w:end w:w="100" w:type="dxa"/>
            </w:tcMar>
            <w:vAlign w:val="top"/>
          </w:tcPr>
          <w:p>
            <w:pPr>
              <w:spacing w:after="0" w:line="240" w:lineRule="auto"/>
              <w:keepNext w:val="1"/>
            </w:pPr>
            <w:r>
              <w:rPr>
                <w:sz w:val="15"/>
              </w:rPr>
              <w:t>Applicable infrastructure funding, vehicle regulation and federal transport roles.</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Operators and regional partners</w:t>
            </w:r>
          </w:p>
        </w:tc>
        <w:tc>
          <w:tcPr>
            <w:tcW w:type="dxa" w:w="8064"/>
            <w:shd w:fill="F3F4F4"/>
            <w:tcMar>
              <w:top w:w="42" w:type="dxa"/>
              <w:start w:w="100" w:type="dxa"/>
              <w:bottom w:w="42" w:type="dxa"/>
              <w:end w:w="100" w:type="dxa"/>
            </w:tcMar>
            <w:vAlign w:val="top"/>
          </w:tcPr>
          <w:p>
            <w:pPr>
              <w:spacing w:after="0" w:line="240" w:lineRule="auto"/>
              <w:keepNext w:val="1"/>
            </w:pPr>
            <w:r>
              <w:rPr>
                <w:sz w:val="15"/>
              </w:rPr>
              <w:t>Service delivery, maintenance, labour, technology, connections and data under measurable contracts.</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pPr>
            <w:r>
              <w:rPr>
                <w:b/>
                <w:color w:val="2D3436"/>
                <w:sz w:val="15"/>
              </w:rPr>
              <w:t>Passengers and institutions</w:t>
            </w:r>
          </w:p>
        </w:tc>
        <w:tc>
          <w:tcPr>
            <w:tcW w:type="dxa" w:w="8064"/>
            <w:shd w:fill="FFFFFF"/>
            <w:tcMar>
              <w:top w:w="42" w:type="dxa"/>
              <w:start w:w="100" w:type="dxa"/>
              <w:bottom w:w="42" w:type="dxa"/>
              <w:end w:w="100" w:type="dxa"/>
            </w:tcMar>
            <w:vAlign w:val="top"/>
          </w:tcPr>
          <w:p>
            <w:pPr>
              <w:spacing w:after="0" w:line="240" w:lineRule="auto"/>
            </w:pPr>
            <w:r>
              <w:rPr>
                <w:sz w:val="15"/>
              </w:rPr>
              <w:t>Trip evidence, accessibility input, anchor demand and service feedback from employers, clinics, schools and community organizations.</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800"/>
            <w:shd w:fill="244C5A"/>
            <w:tcMar>
              <w:top w:w="58" w:type="dxa"/>
              <w:start w:w="100" w:type="dxa"/>
              <w:bottom w:w="58" w:type="dxa"/>
              <w:end w:w="100" w:type="dxa"/>
            </w:tcMar>
            <w:vAlign w:val="center"/>
          </w:tcPr>
          <w:p>
            <w:pPr>
              <w:spacing w:after="0"/>
              <w:keepNext w:val="1"/>
            </w:pPr>
            <w:r>
              <w:rPr>
                <w:b/>
                <w:color w:val="FFFFFF"/>
                <w:sz w:val="16"/>
              </w:rPr>
              <w:t>Gate</w:t>
            </w:r>
          </w:p>
        </w:tc>
        <w:tc>
          <w:tcPr>
            <w:tcW w:type="dxa" w:w="8640"/>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keepNext w:val="1"/>
            </w:pPr>
            <w:r>
              <w:rPr>
                <w:b/>
                <w:color w:val="2D3436"/>
                <w:sz w:val="15"/>
              </w:rPr>
              <w:t>Access gap</w:t>
            </w:r>
          </w:p>
        </w:tc>
        <w:tc>
          <w:tcPr>
            <w:tcW w:type="dxa" w:w="8640"/>
            <w:shd w:fill="FFFFFF"/>
            <w:tcMar>
              <w:top w:w="42" w:type="dxa"/>
              <w:start w:w="100" w:type="dxa"/>
              <w:bottom w:w="42" w:type="dxa"/>
              <w:end w:w="100" w:type="dxa"/>
            </w:tcMar>
            <w:vAlign w:val="top"/>
          </w:tcPr>
          <w:p>
            <w:pPr>
              <w:spacing w:after="0" w:line="240" w:lineRule="auto"/>
              <w:keepNext w:val="1"/>
            </w:pPr>
            <w:r>
              <w:rPr>
                <w:sz w:val="15"/>
              </w:rPr>
              <w:t>Which essential trips cannot be completed reliably, for whom and at what times?</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keepNext w:val="1"/>
            </w:pPr>
            <w:r>
              <w:rPr>
                <w:b/>
                <w:color w:val="2D3436"/>
                <w:sz w:val="15"/>
              </w:rPr>
              <w:t>Service model</w:t>
            </w:r>
          </w:p>
        </w:tc>
        <w:tc>
          <w:tcPr>
            <w:tcW w:type="dxa" w:w="8640"/>
            <w:shd w:fill="F3F4F4"/>
            <w:tcMar>
              <w:top w:w="42" w:type="dxa"/>
              <w:start w:w="100" w:type="dxa"/>
              <w:bottom w:w="42" w:type="dxa"/>
              <w:end w:w="100" w:type="dxa"/>
            </w:tcMar>
            <w:vAlign w:val="top"/>
          </w:tcPr>
          <w:p>
            <w:pPr>
              <w:spacing w:after="0" w:line="240" w:lineRule="auto"/>
              <w:keepNext w:val="1"/>
            </w:pPr>
            <w:r>
              <w:rPr>
                <w:sz w:val="15"/>
              </w:rPr>
              <w:t>Does demand density support fixed service, or is on-demand, contracted or regional service more suitable?</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keepNext w:val="1"/>
            </w:pPr>
            <w:r>
              <w:rPr>
                <w:b/>
                <w:color w:val="2D3436"/>
                <w:sz w:val="15"/>
              </w:rPr>
              <w:t>Operations</w:t>
            </w:r>
          </w:p>
        </w:tc>
        <w:tc>
          <w:tcPr>
            <w:tcW w:type="dxa" w:w="8640"/>
            <w:shd w:fill="FFFFFF"/>
            <w:tcMar>
              <w:top w:w="42" w:type="dxa"/>
              <w:start w:w="100" w:type="dxa"/>
              <w:bottom w:w="42" w:type="dxa"/>
              <w:end w:w="100" w:type="dxa"/>
            </w:tcMar>
            <w:vAlign w:val="top"/>
          </w:tcPr>
          <w:p>
            <w:pPr>
              <w:spacing w:after="0" w:line="240" w:lineRule="auto"/>
              <w:keepNext w:val="1"/>
            </w:pPr>
            <w:r>
              <w:rPr>
                <w:sz w:val="15"/>
              </w:rPr>
              <w:t>Are vehicles, operators, maintenance, dispatch, insurance and accessible capacity available?</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keepNext w:val="1"/>
            </w:pPr>
            <w:r>
              <w:rPr>
                <w:b/>
                <w:color w:val="2D3436"/>
                <w:sz w:val="15"/>
              </w:rPr>
              <w:t>Economics</w:t>
            </w:r>
          </w:p>
        </w:tc>
        <w:tc>
          <w:tcPr>
            <w:tcW w:type="dxa" w:w="8640"/>
            <w:shd w:fill="F3F4F4"/>
            <w:tcMar>
              <w:top w:w="42" w:type="dxa"/>
              <w:start w:w="100" w:type="dxa"/>
              <w:bottom w:w="42" w:type="dxa"/>
              <w:end w:w="100" w:type="dxa"/>
            </w:tcMar>
            <w:vAlign w:val="top"/>
          </w:tcPr>
          <w:p>
            <w:pPr>
              <w:spacing w:after="0" w:line="240" w:lineRule="auto"/>
              <w:keepNext w:val="1"/>
            </w:pPr>
            <w:r>
              <w:rPr>
                <w:sz w:val="15"/>
              </w:rPr>
              <w:t>What is full cost per service hour and completed passenger trip under realistic ridership?</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keepNext w:val="1"/>
            </w:pPr>
            <w:r>
              <w:rPr>
                <w:b/>
                <w:color w:val="2D3436"/>
                <w:sz w:val="15"/>
              </w:rPr>
              <w:t>Funding</w:t>
            </w:r>
          </w:p>
        </w:tc>
        <w:tc>
          <w:tcPr>
            <w:tcW w:type="dxa" w:w="8640"/>
            <w:shd w:fill="FFFFFF"/>
            <w:tcMar>
              <w:top w:w="42" w:type="dxa"/>
              <w:start w:w="100" w:type="dxa"/>
              <w:bottom w:w="42" w:type="dxa"/>
              <w:end w:w="100" w:type="dxa"/>
            </w:tcMar>
            <w:vAlign w:val="top"/>
          </w:tcPr>
          <w:p>
            <w:pPr>
              <w:spacing w:after="0" w:line="240" w:lineRule="auto"/>
              <w:keepNext w:val="1"/>
            </w:pPr>
            <w:r>
              <w:rPr>
                <w:sz w:val="15"/>
              </w:rPr>
              <w:t>What portion comes from fares, municipal levy, contracts, grants or another transparent source?</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Performance</w:t>
            </w:r>
          </w:p>
        </w:tc>
        <w:tc>
          <w:tcPr>
            <w:tcW w:type="dxa" w:w="8640"/>
            <w:shd w:fill="F3F4F4"/>
            <w:tcMar>
              <w:top w:w="42" w:type="dxa"/>
              <w:start w:w="100" w:type="dxa"/>
              <w:bottom w:w="42" w:type="dxa"/>
              <w:end w:w="100" w:type="dxa"/>
            </w:tcMar>
            <w:vAlign w:val="top"/>
          </w:tcPr>
          <w:p>
            <w:pPr>
              <w:spacing w:after="0" w:line="240" w:lineRule="auto"/>
            </w:pPr>
            <w:r>
              <w:rPr>
                <w:sz w:val="15"/>
              </w:rPr>
              <w:t>Which coverage, reliability, cost and accessibility thresholds trigger scale, redesign or stop?</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664"/>
            <w:shd w:fill="244C5A"/>
            <w:tcMar>
              <w:top w:w="58" w:type="dxa"/>
              <w:start w:w="100" w:type="dxa"/>
              <w:bottom w:w="58" w:type="dxa"/>
              <w:end w:w="100" w:type="dxa"/>
            </w:tcMar>
            <w:vAlign w:val="center"/>
          </w:tcPr>
          <w:p>
            <w:pPr>
              <w:spacing w:after="0"/>
            </w:pPr>
            <w:r>
              <w:rPr>
                <w:b/>
                <w:color w:val="FFFFFF"/>
                <w:sz w:val="16"/>
              </w:rPr>
              <w:t>Measure</w:t>
            </w:r>
          </w:p>
        </w:tc>
        <w:tc>
          <w:tcPr>
            <w:tcW w:type="dxa" w:w="7776"/>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Coverage</w:t>
            </w:r>
          </w:p>
        </w:tc>
        <w:tc>
          <w:tcPr>
            <w:tcW w:type="dxa" w:w="7776"/>
            <w:shd w:fill="FFFFFF"/>
            <w:tcMar>
              <w:top w:w="42" w:type="dxa"/>
              <w:start w:w="100" w:type="dxa"/>
              <w:bottom w:w="42" w:type="dxa"/>
              <w:end w:w="100" w:type="dxa"/>
            </w:tcMar>
            <w:vAlign w:val="top"/>
          </w:tcPr>
          <w:p>
            <w:pPr>
              <w:spacing w:after="0" w:line="240" w:lineRule="auto"/>
            </w:pPr>
            <w:r>
              <w:rPr>
                <w:sz w:val="15"/>
              </w:rPr>
              <w:t>Residents, jobs and essential destinations within the stated walk, wheel, booking or travel standard; use population and service-hour denominators.</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Trip fulfilment</w:t>
            </w:r>
          </w:p>
        </w:tc>
        <w:tc>
          <w:tcPr>
            <w:tcW w:type="dxa" w:w="7776"/>
            <w:shd w:fill="F3F4F4"/>
            <w:tcMar>
              <w:top w:w="42" w:type="dxa"/>
              <w:start w:w="100" w:type="dxa"/>
              <w:bottom w:w="42" w:type="dxa"/>
              <w:end w:w="100" w:type="dxa"/>
            </w:tcMar>
            <w:vAlign w:val="top"/>
          </w:tcPr>
          <w:p>
            <w:pPr>
              <w:spacing w:after="0" w:line="240" w:lineRule="auto"/>
            </w:pPr>
            <w:r>
              <w:rPr>
                <w:sz w:val="15"/>
              </w:rPr>
              <w:t>Completed eligible trip requests divided by eligible requests; report denials, cancellations and no-shows separately.</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Wait and travel time</w:t>
            </w:r>
          </w:p>
        </w:tc>
        <w:tc>
          <w:tcPr>
            <w:tcW w:type="dxa" w:w="7776"/>
            <w:shd w:fill="FFFFFF"/>
            <w:tcMar>
              <w:top w:w="42" w:type="dxa"/>
              <w:start w:w="100" w:type="dxa"/>
              <w:bottom w:w="42" w:type="dxa"/>
              <w:end w:w="100" w:type="dxa"/>
            </w:tcMar>
            <w:vAlign w:val="top"/>
          </w:tcPr>
          <w:p>
            <w:pPr>
              <w:spacing w:after="0" w:line="240" w:lineRule="auto"/>
            </w:pPr>
            <w:r>
              <w:rPr>
                <w:sz w:val="15"/>
              </w:rPr>
              <w:t>Median and 90th percentile by service, time and passenger group; compare with a reasonable alternative.</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Reliability</w:t>
            </w:r>
          </w:p>
        </w:tc>
        <w:tc>
          <w:tcPr>
            <w:tcW w:type="dxa" w:w="7776"/>
            <w:shd w:fill="F3F4F4"/>
            <w:tcMar>
              <w:top w:w="42" w:type="dxa"/>
              <w:start w:w="100" w:type="dxa"/>
              <w:bottom w:w="42" w:type="dxa"/>
              <w:end w:w="100" w:type="dxa"/>
            </w:tcMar>
            <w:vAlign w:val="top"/>
          </w:tcPr>
          <w:p>
            <w:pPr>
              <w:spacing w:after="0" w:line="240" w:lineRule="auto"/>
            </w:pPr>
            <w:r>
              <w:rPr>
                <w:sz w:val="15"/>
              </w:rPr>
              <w:t>On-time performance and hours or trips lost; define the on-time window before reporting.</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Unit cost</w:t>
            </w:r>
          </w:p>
        </w:tc>
        <w:tc>
          <w:tcPr>
            <w:tcW w:type="dxa" w:w="7776"/>
            <w:shd w:fill="FFFFFF"/>
            <w:tcMar>
              <w:top w:w="42" w:type="dxa"/>
              <w:start w:w="100" w:type="dxa"/>
              <w:bottom w:w="42" w:type="dxa"/>
              <w:end w:w="100" w:type="dxa"/>
            </w:tcMar>
            <w:vAlign w:val="top"/>
          </w:tcPr>
          <w:p>
            <w:pPr>
              <w:spacing w:after="0" w:line="240" w:lineRule="auto"/>
            </w:pPr>
            <w:r>
              <w:rPr>
                <w:sz w:val="15"/>
              </w:rPr>
              <w:t>Full operating cost per service hour, kilometre and completed passenger trip; identify capital and subsidy.</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Accessibility</w:t>
            </w:r>
          </w:p>
        </w:tc>
        <w:tc>
          <w:tcPr>
            <w:tcW w:type="dxa" w:w="7776"/>
            <w:shd w:fill="F3F4F4"/>
            <w:tcMar>
              <w:top w:w="42" w:type="dxa"/>
              <w:start w:w="100" w:type="dxa"/>
              <w:bottom w:w="42" w:type="dxa"/>
              <w:end w:w="100" w:type="dxa"/>
            </w:tcMar>
            <w:vAlign w:val="top"/>
          </w:tcPr>
          <w:p>
            <w:pPr>
              <w:spacing w:after="0" w:line="240" w:lineRule="auto"/>
            </w:pPr>
            <w:r>
              <w:rPr>
                <w:sz w:val="15"/>
              </w:rPr>
              <w:t>Denied accessible requests, lift or equipment failures, booking barriers and complaints.</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Outcome access</w:t>
            </w:r>
          </w:p>
        </w:tc>
        <w:tc>
          <w:tcPr>
            <w:tcW w:type="dxa" w:w="7776"/>
            <w:shd w:fill="FFFFFF"/>
            <w:tcMar>
              <w:top w:w="42" w:type="dxa"/>
              <w:start w:w="100" w:type="dxa"/>
              <w:bottom w:w="42" w:type="dxa"/>
              <w:end w:w="100" w:type="dxa"/>
            </w:tcMar>
            <w:vAlign w:val="top"/>
          </w:tcPr>
          <w:p>
            <w:pPr>
              <w:spacing w:after="0" w:line="240" w:lineRule="auto"/>
            </w:pPr>
            <w:r>
              <w:rPr>
                <w:sz w:val="15"/>
              </w:rPr>
              <w:t>Missed healthcare appointments, employment or training attendance and food-access trips where data-sharing is lawful and attribution is cautious.</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Safety and environment</w:t>
            </w:r>
          </w:p>
        </w:tc>
        <w:tc>
          <w:tcPr>
            <w:tcW w:type="dxa" w:w="7776"/>
            <w:shd w:fill="F3F4F4"/>
            <w:tcMar>
              <w:top w:w="42" w:type="dxa"/>
              <w:start w:w="100" w:type="dxa"/>
              <w:bottom w:w="42" w:type="dxa"/>
              <w:end w:w="100" w:type="dxa"/>
            </w:tcMar>
            <w:vAlign w:val="top"/>
          </w:tcPr>
          <w:p>
            <w:pPr>
              <w:spacing w:after="0" w:line="240" w:lineRule="auto"/>
            </w:pPr>
            <w:r>
              <w:rPr>
                <w:sz w:val="15"/>
              </w:rPr>
              <w:t>Collisions, injuries, operator incidents, emissions and energy use per service or passenger kilometre.</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Canadian municipalities operate multiple transit models, and federal programs have recognized rural and on-demand planning and capital needs. Statistics Canada publishes national ridership and commuting data.</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Local trip demand by time and purpose, unmet trips, accessibility needs, operator capacity, service geography, ridership, vehicle and facility cost, labour, funding and provincial requirements.</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Integrated, regional, on-demand, low-fare or free service may improve access and ridership. The effect, cost and distribution must be established by a local pilot and comparison against service standards.</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Transportation Autonomy does not guarantee universal service, free fares, lower household cost or emissions reductions without measured service design, funding and fleet performance.</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448"/>
            <w:shd w:fill="244C5A"/>
            <w:tcMar>
              <w:top w:w="58" w:type="dxa"/>
              <w:start w:w="100" w:type="dxa"/>
              <w:bottom w:w="58" w:type="dxa"/>
              <w:end w:w="100" w:type="dxa"/>
            </w:tcMar>
            <w:vAlign w:val="center"/>
          </w:tcPr>
          <w:p>
            <w:pPr>
              <w:spacing w:after="0"/>
              <w:keepNext w:val="1"/>
            </w:pPr>
            <w:r>
              <w:rPr>
                <w:b/>
                <w:color w:val="FFFFFF"/>
                <w:sz w:val="16"/>
              </w:rPr>
              <w:t>Risk</w:t>
            </w:r>
          </w:p>
        </w:tc>
        <w:tc>
          <w:tcPr>
            <w:tcW w:type="dxa" w:w="7992"/>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Low utilization</w:t>
            </w:r>
          </w:p>
        </w:tc>
        <w:tc>
          <w:tcPr>
            <w:tcW w:type="dxa" w:w="7992"/>
            <w:shd w:fill="FFFFFF"/>
            <w:tcMar>
              <w:top w:w="42" w:type="dxa"/>
              <w:start w:w="100" w:type="dxa"/>
              <w:bottom w:w="42" w:type="dxa"/>
              <w:end w:w="100" w:type="dxa"/>
            </w:tcMar>
            <w:vAlign w:val="top"/>
          </w:tcPr>
          <w:p>
            <w:pPr>
              <w:spacing w:after="0" w:line="240" w:lineRule="auto"/>
              <w:keepNext w:val="1"/>
            </w:pPr>
            <w:r>
              <w:rPr>
                <w:sz w:val="15"/>
              </w:rPr>
              <w:t>Start with demand-responsive or anchor-destination pilots and publish load factor by period.</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Inaccessible service</w:t>
            </w:r>
          </w:p>
        </w:tc>
        <w:tc>
          <w:tcPr>
            <w:tcW w:type="dxa" w:w="7992"/>
            <w:shd w:fill="F3F4F4"/>
            <w:tcMar>
              <w:top w:w="42" w:type="dxa"/>
              <w:start w:w="100" w:type="dxa"/>
              <w:bottom w:w="42" w:type="dxa"/>
              <w:end w:w="100" w:type="dxa"/>
            </w:tcMar>
            <w:vAlign w:val="top"/>
          </w:tcPr>
          <w:p>
            <w:pPr>
              <w:spacing w:after="0" w:line="240" w:lineRule="auto"/>
              <w:keepNext w:val="1"/>
            </w:pPr>
            <w:r>
              <w:rPr>
                <w:sz w:val="15"/>
              </w:rPr>
              <w:t>Co-design standards, reserve accessible capacity, audit denials and retain telephone booking.</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Operator shortage</w:t>
            </w:r>
          </w:p>
        </w:tc>
        <w:tc>
          <w:tcPr>
            <w:tcW w:type="dxa" w:w="7992"/>
            <w:shd w:fill="FFFFFF"/>
            <w:tcMar>
              <w:top w:w="42" w:type="dxa"/>
              <w:start w:w="100" w:type="dxa"/>
              <w:bottom w:w="42" w:type="dxa"/>
              <w:end w:w="100" w:type="dxa"/>
            </w:tcMar>
            <w:vAlign w:val="top"/>
          </w:tcPr>
          <w:p>
            <w:pPr>
              <w:spacing w:after="0" w:line="240" w:lineRule="auto"/>
              <w:keepNext w:val="1"/>
            </w:pPr>
            <w:r>
              <w:rPr>
                <w:sz w:val="15"/>
              </w:rPr>
              <w:t>Workforce plan, realistic wage and scheduling assumptions, maintenance capacity and contract contingencies.</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Capital mismatch</w:t>
            </w:r>
          </w:p>
        </w:tc>
        <w:tc>
          <w:tcPr>
            <w:tcW w:type="dxa" w:w="7992"/>
            <w:shd w:fill="F3F4F4"/>
            <w:tcMar>
              <w:top w:w="42" w:type="dxa"/>
              <w:start w:w="100" w:type="dxa"/>
              <w:bottom w:w="42" w:type="dxa"/>
              <w:end w:w="100" w:type="dxa"/>
            </w:tcMar>
            <w:vAlign w:val="top"/>
          </w:tcPr>
          <w:p>
            <w:pPr>
              <w:spacing w:after="0" w:line="240" w:lineRule="auto"/>
              <w:keepNext w:val="1"/>
            </w:pPr>
            <w:r>
              <w:rPr>
                <w:sz w:val="15"/>
              </w:rPr>
              <w:t>Test service before fleet scale; procure vehicles suited to route, climate and charging or fuel conditions.</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pPr>
            <w:r>
              <w:rPr>
                <w:b/>
                <w:color w:val="2D3436"/>
                <w:sz w:val="15"/>
              </w:rPr>
              <w:t>Technology exclusion</w:t>
            </w:r>
          </w:p>
        </w:tc>
        <w:tc>
          <w:tcPr>
            <w:tcW w:type="dxa" w:w="7992"/>
            <w:shd w:fill="FFFFFF"/>
            <w:tcMar>
              <w:top w:w="42" w:type="dxa"/>
              <w:start w:w="100" w:type="dxa"/>
              <w:bottom w:w="42" w:type="dxa"/>
              <w:end w:w="100" w:type="dxa"/>
            </w:tcMar>
            <w:vAlign w:val="top"/>
          </w:tcPr>
          <w:p>
            <w:pPr>
              <w:spacing w:after="0" w:line="240" w:lineRule="auto"/>
            </w:pPr>
            <w:r>
              <w:rPr>
                <w:sz w:val="15"/>
              </w:rPr>
              <w:t>Non-smartphone booking and payment, plain-language information and service continuity during outages.</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T1  </w:t>
      </w:r>
      <w:hyperlink r:id="rId24">
        <w:r>
          <w:rPr>
            <w:color w:val="244C5A"/>
            <w:u w:val="single"/>
            <w:rFonts w:ascii="Aptos" w:hAnsi="Aptos"/>
          </w:rPr>
          <w:t>Rural Transit Solutions Fund applicant guide</w:t>
        </w:r>
      </w:hyperlink>
      <w:r>
        <w:t xml:space="preserve"> — Documents eligible rural, on-demand and integrated transportation planning; program availability must be checked at application time.</w:t>
      </w:r>
    </w:p>
    <w:p>
      <w:pPr>
        <w:pStyle w:val="Source"/>
      </w:pPr>
      <w:r>
        <w:rPr>
          <w:b/>
        </w:rPr>
        <w:t xml:space="preserve">T2  </w:t>
      </w:r>
      <w:hyperlink r:id="rId25">
        <w:r>
          <w:rPr>
            <w:color w:val="244C5A"/>
            <w:u w:val="single"/>
            <w:rFonts w:ascii="Aptos" w:hAnsi="Aptos"/>
          </w:rPr>
          <w:t>Zero Emission Transit Fund</w:t>
        </w:r>
      </w:hyperlink>
      <w:r>
        <w:t xml:space="preserve"> — Documents planning and capital considerations; do not present a closed intake as current funding.</w:t>
      </w:r>
    </w:p>
    <w:p>
      <w:pPr>
        <w:pStyle w:val="Source"/>
      </w:pPr>
      <w:r>
        <w:rPr>
          <w:b/>
        </w:rPr>
        <w:t xml:space="preserve">T3  </w:t>
      </w:r>
      <w:hyperlink r:id="rId26">
        <w:r>
          <w:rPr>
            <w:color w:val="244C5A"/>
            <w:u w:val="single"/>
            <w:rFonts w:ascii="Aptos" w:hAnsi="Aptos"/>
          </w:rPr>
          <w:t>Statistics Canada Urban public transit 2025</w:t>
        </w:r>
      </w:hyperlink>
      <w:r>
        <w:t xml:space="preserve"> — National ridership context, not a local demand forecast.</w:t>
      </w:r>
    </w:p>
    <w:p>
      <w:r>
        <w:br w:type="page"/>
      </w:r>
    </w:p>
    <w:p>
      <w:pPr>
        <w:pStyle w:val="Kicker"/>
        <w:keepNext w:val="1"/>
        <w:keepLines w:val="1"/>
      </w:pPr>
      <w:r>
        <w:t>AUTONOMY 06  |  SUGGESTED SLUG /WORKFORCE-SKILLS-AUTONOMY</w:t>
      </w:r>
    </w:p>
    <w:p>
      <w:pPr>
        <w:pStyle w:val="TitlePage"/>
        <w:keepNext w:val="1"/>
        <w:keepLines w:val="1"/>
      </w:pPr>
      <w:bookmarkStart w:id="986057" w:name="workforce"/>
      <w:bookmarkEnd w:id="986057"/>
      <w:r>
        <w:t>Workforce &amp; Skills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Workforce &amp; Skills Autonomy is the municipal capacity to translate a funded local project pipeline into training, apprenticeship, certification, employment and long-term retention through employers, unions, colleges and community partners.</w:t>
            </w:r>
          </w:p>
        </w:tc>
      </w:tr>
    </w:tbl>
    <w:p>
      <w:pPr>
        <w:spacing w:after="0"/>
      </w:pPr>
    </w:p>
    <w:p>
      <w:pPr>
        <w:pStyle w:val="Heading1"/>
        <w:keepNext w:val="1"/>
        <w:keepLines w:val="1"/>
      </w:pPr>
      <w:r>
        <w:t>Why this component exists</w:t>
      </w:r>
    </w:p>
    <w:p>
      <w:pPr>
        <w:pStyle w:val="BodyText"/>
      </w:pPr>
      <w:r>
        <w:t>Every other Autonomy depends on people who can build and operate it. A housing target without trade capacity is a schedule risk; an energy or digital asset without technicians is a reliability risk; a clinic without funded professionals is a building rather than a service. Workforce &amp; Skills Autonomy turns projected activity into an occupation-by-occupation demand plan and closes the gap through recognized pathways.</w:t>
      </w:r>
    </w:p>
    <w:p>
      <w:pPr>
        <w:pStyle w:val="BodyText"/>
      </w:pPr>
      <w:r>
        <w:t>The sequence matters. Training should follow credible, funded demand, not speculative job counts. Municipalities can convene partners, align procurement and remove local barriers, but provinces and territories remain responsible for apprenticeship and trade certification. Employers, unions, colleges and professional bodies retain their respective training and workplace roles.</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Demand forecasting</w:t>
            </w:r>
          </w:p>
        </w:tc>
        <w:tc>
          <w:tcPr>
            <w:tcW w:type="dxa" w:w="7560"/>
            <w:shd w:fill="FFFFFF"/>
            <w:tcMar>
              <w:top w:w="68" w:type="dxa"/>
              <w:start w:w="100" w:type="dxa"/>
              <w:bottom w:w="68" w:type="dxa"/>
              <w:end w:w="100" w:type="dxa"/>
            </w:tcMar>
            <w:vAlign w:val="top"/>
          </w:tcPr>
          <w:p>
            <w:pPr>
              <w:spacing w:after="0" w:line="240" w:lineRule="auto"/>
              <w:keepNext w:val="1"/>
            </w:pPr>
            <w:r>
              <w:rPr>
                <w:sz w:val="17"/>
              </w:rPr>
              <w:t>Occupation, competency, quantity, location and timing requirements from approved Autonomy projects and replacement demand.</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Pathways</w:t>
            </w:r>
          </w:p>
        </w:tc>
        <w:tc>
          <w:tcPr>
            <w:tcW w:type="dxa" w:w="7560"/>
            <w:shd w:fill="F3F4F4"/>
            <w:tcMar>
              <w:top w:w="68" w:type="dxa"/>
              <w:start w:w="100" w:type="dxa"/>
              <w:bottom w:w="68" w:type="dxa"/>
              <w:end w:w="100" w:type="dxa"/>
            </w:tcMar>
            <w:vAlign w:val="top"/>
          </w:tcPr>
          <w:p>
            <w:pPr>
              <w:spacing w:after="0" w:line="240" w:lineRule="auto"/>
              <w:keepNext w:val="1"/>
            </w:pPr>
            <w:r>
              <w:rPr>
                <w:sz w:val="17"/>
              </w:rPr>
              <w:t>Pre-apprenticeship, apprenticeship, Red Seal and other recognized credentials, college partnerships, work-integrated learning and targeted upskilling.</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Employment supports</w:t>
            </w:r>
          </w:p>
        </w:tc>
        <w:tc>
          <w:tcPr>
            <w:tcW w:type="dxa" w:w="7560"/>
            <w:shd w:fill="FFFFFF"/>
            <w:tcMar>
              <w:top w:w="68" w:type="dxa"/>
              <w:start w:w="100" w:type="dxa"/>
              <w:bottom w:w="68" w:type="dxa"/>
              <w:end w:w="100" w:type="dxa"/>
            </w:tcMar>
            <w:vAlign w:val="top"/>
          </w:tcPr>
          <w:p>
            <w:pPr>
              <w:spacing w:after="0" w:line="240" w:lineRule="auto"/>
              <w:keepNext w:val="1"/>
            </w:pPr>
            <w:r>
              <w:rPr>
                <w:sz w:val="17"/>
              </w:rPr>
              <w:t>Paid placements, tools, transport, childcare, housing, mentorship, credential navigation and other barriers where evidence supports them.</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Employer and union participation</w:t>
            </w:r>
          </w:p>
        </w:tc>
        <w:tc>
          <w:tcPr>
            <w:tcW w:type="dxa" w:w="7560"/>
            <w:shd w:fill="F3F4F4"/>
            <w:tcMar>
              <w:top w:w="68" w:type="dxa"/>
              <w:start w:w="100" w:type="dxa"/>
              <w:bottom w:w="68" w:type="dxa"/>
              <w:end w:w="100" w:type="dxa"/>
            </w:tcMar>
            <w:vAlign w:val="top"/>
          </w:tcPr>
          <w:p>
            <w:pPr>
              <w:spacing w:after="0" w:line="240" w:lineRule="auto"/>
              <w:keepNext w:val="1"/>
            </w:pPr>
            <w:r>
              <w:rPr>
                <w:sz w:val="17"/>
              </w:rPr>
              <w:t>Formal commitments to placements, supervision, apprenticeship hours, safe work, wages and retention.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Enterprise capacity</w:t>
            </w:r>
          </w:p>
        </w:tc>
        <w:tc>
          <w:tcPr>
            <w:tcW w:type="dxa" w:w="7560"/>
            <w:shd w:fill="FFFFFF"/>
            <w:tcMar>
              <w:top w:w="68" w:type="dxa"/>
              <w:start w:w="100" w:type="dxa"/>
              <w:bottom w:w="68" w:type="dxa"/>
              <w:end w:w="100" w:type="dxa"/>
            </w:tcMar>
            <w:vAlign w:val="top"/>
          </w:tcPr>
          <w:p>
            <w:pPr>
              <w:spacing w:after="0" w:line="240" w:lineRule="auto"/>
              <w:keepNext w:val="1"/>
            </w:pPr>
            <w:r>
              <w:rPr>
                <w:sz w:val="17"/>
              </w:rPr>
              <w:t>Local business development, succession and procurement readiness where these are required to deliver projects.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Authority boundary</w:t>
            </w:r>
          </w:p>
        </w:tc>
        <w:tc>
          <w:tcPr>
            <w:tcW w:type="dxa" w:w="7560"/>
            <w:shd w:fill="F3F4F4"/>
            <w:tcMar>
              <w:top w:w="68" w:type="dxa"/>
              <w:start w:w="100" w:type="dxa"/>
              <w:bottom w:w="68" w:type="dxa"/>
              <w:end w:w="100" w:type="dxa"/>
            </w:tcMar>
            <w:vAlign w:val="top"/>
          </w:tcPr>
          <w:p>
            <w:pPr>
              <w:spacing w:after="0" w:line="240" w:lineRule="auto"/>
            </w:pPr>
            <w:r>
              <w:rPr>
                <w:sz w:val="17"/>
              </w:rPr>
              <w:t>The municipality does not invent trade credentials, lower occupational standards or guarantee employment without a funded vacancy.</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Build a rolling three- to five-year project and operating pipeline with probability, funding status, schedule and occupation demand.</w:t>
      </w:r>
    </w:p>
    <w:p>
      <w:pPr>
        <w:pStyle w:val="BodyText"/>
        <w:ind w:left="432" w:hanging="317"/>
        <w:keepLines w:val="1"/>
      </w:pPr>
      <w:r>
        <w:rPr>
          <w:b/>
        </w:rPr>
        <w:t xml:space="preserve">2.  </w:t>
      </w:r>
      <w:r>
        <w:t>Translate projects into competencies, credentials, apprenticeship hours, supervisors and training-seat requirements with employers and unions.</w:t>
      </w:r>
    </w:p>
    <w:p>
      <w:pPr>
        <w:pStyle w:val="BodyText"/>
        <w:ind w:left="432" w:hanging="317"/>
        <w:keepLines w:val="1"/>
      </w:pPr>
      <w:r>
        <w:rPr>
          <w:b/>
        </w:rPr>
        <w:t xml:space="preserve">3.  </w:t>
      </w:r>
      <w:r>
        <w:t>Assess the local workforce, retirements, commuting, participation barriers and realistic recruitment area.</w:t>
      </w:r>
    </w:p>
    <w:p>
      <w:pPr>
        <w:pStyle w:val="BodyText"/>
        <w:ind w:left="432" w:hanging="317"/>
        <w:keepLines w:val="1"/>
      </w:pPr>
      <w:r>
        <w:rPr>
          <w:b/>
        </w:rPr>
        <w:t xml:space="preserve">4.  </w:t>
      </w:r>
      <w:r>
        <w:t>Contract recognized partners for training and paid work-based learning tied to actual procurement and hiring dates.</w:t>
      </w:r>
    </w:p>
    <w:p>
      <w:pPr>
        <w:pStyle w:val="BodyText"/>
        <w:ind w:left="432" w:hanging="317"/>
        <w:keepLines w:val="1"/>
      </w:pPr>
      <w:r>
        <w:rPr>
          <w:b/>
        </w:rPr>
        <w:t xml:space="preserve">5.  </w:t>
      </w:r>
      <w:r>
        <w:t>Track each cohort from enrolment through completion, certification, placement, wage and retention, with consent and privacy controls.</w:t>
      </w:r>
    </w:p>
    <w:p>
      <w:pPr>
        <w:pStyle w:val="BodyText"/>
        <w:ind w:left="432" w:hanging="317"/>
        <w:keepLines w:val="1"/>
      </w:pPr>
      <w:r>
        <w:rPr>
          <w:b/>
        </w:rPr>
        <w:t xml:space="preserve">6.  </w:t>
      </w:r>
      <w:r>
        <w:t>Feed vacancy, productivity, completion and retention evidence back into project schedules and the next training intake.</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92"/>
            <w:shd w:fill="244C5A"/>
            <w:tcMar>
              <w:top w:w="58" w:type="dxa"/>
              <w:start w:w="100" w:type="dxa"/>
              <w:bottom w:w="58" w:type="dxa"/>
              <w:end w:w="100" w:type="dxa"/>
            </w:tcMar>
            <w:vAlign w:val="center"/>
          </w:tcPr>
          <w:p>
            <w:pPr>
              <w:spacing w:after="0"/>
              <w:keepNext w:val="1"/>
            </w:pPr>
            <w:r>
              <w:rPr>
                <w:b/>
                <w:color w:val="FFFFFF"/>
                <w:sz w:val="16"/>
              </w:rPr>
              <w:t>Connection</w:t>
            </w:r>
          </w:p>
        </w:tc>
        <w:tc>
          <w:tcPr>
            <w:tcW w:type="dxa" w:w="7848"/>
            <w:shd w:fill="244C5A"/>
            <w:tcMar>
              <w:top w:w="58" w:type="dxa"/>
              <w:start w:w="100" w:type="dxa"/>
              <w:bottom w:w="58" w:type="dxa"/>
              <w:end w:w="100" w:type="dxa"/>
            </w:tcMar>
            <w:vAlign w:val="center"/>
          </w:tcPr>
          <w:p>
            <w:pPr>
              <w:spacing w:after="0"/>
              <w:keepNext w:val="1"/>
            </w:pPr>
            <w:r>
              <w:rPr>
                <w:b/>
                <w:color w:val="FFFFFF"/>
                <w:sz w:val="16"/>
              </w:rPr>
              <w:t>Operational dependency</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keepNext w:val="1"/>
            </w:pPr>
            <w:r>
              <w:rPr>
                <w:b/>
                <w:color w:val="2D3436"/>
                <w:sz w:val="15"/>
              </w:rPr>
              <w:t>Housing</w:t>
            </w:r>
          </w:p>
        </w:tc>
        <w:tc>
          <w:tcPr>
            <w:tcW w:type="dxa" w:w="7848"/>
            <w:shd w:fill="FFFFFF"/>
            <w:tcMar>
              <w:top w:w="42" w:type="dxa"/>
              <w:start w:w="100" w:type="dxa"/>
              <w:bottom w:w="42" w:type="dxa"/>
              <w:end w:w="100" w:type="dxa"/>
            </w:tcMar>
            <w:vAlign w:val="top"/>
          </w:tcPr>
          <w:p>
            <w:pPr>
              <w:spacing w:after="0" w:line="240" w:lineRule="auto"/>
              <w:keepNext w:val="1"/>
            </w:pPr>
            <w:r>
              <w:rPr>
                <w:sz w:val="15"/>
              </w:rPr>
              <w:t>Construction trades build homes; attainable housing can improve worker recruitment and retention.</w:t>
            </w:r>
          </w:p>
        </w:tc>
      </w:tr>
      <w:tr>
        <w:trPr>
          <w:cantSplit w:val="true"/>
          <w:trHeight w:hRule="atLeast"/>
        </w:trPr>
        <w:tc>
          <w:tcPr>
            <w:tcW w:type="dxa" w:w="2592"/>
            <w:shd w:fill="F3F4F4"/>
            <w:tcMar>
              <w:top w:w="42" w:type="dxa"/>
              <w:start w:w="100" w:type="dxa"/>
              <w:bottom w:w="42" w:type="dxa"/>
              <w:end w:w="100" w:type="dxa"/>
            </w:tcMar>
            <w:vAlign w:val="top"/>
          </w:tcPr>
          <w:p>
            <w:pPr>
              <w:spacing w:after="0" w:line="240" w:lineRule="auto"/>
              <w:keepNext w:val="1"/>
            </w:pPr>
            <w:r>
              <w:rPr>
                <w:b/>
                <w:color w:val="2D3436"/>
                <w:sz w:val="15"/>
              </w:rPr>
              <w:t>Grocery, Fuel and Transportation</w:t>
            </w:r>
          </w:p>
        </w:tc>
        <w:tc>
          <w:tcPr>
            <w:tcW w:type="dxa" w:w="7848"/>
            <w:shd w:fill="F3F4F4"/>
            <w:tcMar>
              <w:top w:w="42" w:type="dxa"/>
              <w:start w:w="100" w:type="dxa"/>
              <w:bottom w:w="42" w:type="dxa"/>
              <w:end w:w="100" w:type="dxa"/>
            </w:tcMar>
            <w:vAlign w:val="top"/>
          </w:tcPr>
          <w:p>
            <w:pPr>
              <w:spacing w:after="0" w:line="240" w:lineRule="auto"/>
              <w:keepNext w:val="1"/>
            </w:pPr>
            <w:r>
              <w:rPr>
                <w:sz w:val="15"/>
              </w:rPr>
              <w:t>Retail, logistics, commercial driving, mechanics, dispatch, procurement and management demand must be costed.</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keepNext w:val="1"/>
            </w:pPr>
            <w:r>
              <w:rPr>
                <w:b/>
                <w:color w:val="2D3436"/>
                <w:sz w:val="15"/>
              </w:rPr>
              <w:t>Healthcare</w:t>
            </w:r>
          </w:p>
        </w:tc>
        <w:tc>
          <w:tcPr>
            <w:tcW w:type="dxa" w:w="7848"/>
            <w:shd w:fill="FFFFFF"/>
            <w:tcMar>
              <w:top w:w="42" w:type="dxa"/>
              <w:start w:w="100" w:type="dxa"/>
              <w:bottom w:w="42" w:type="dxa"/>
              <w:end w:w="100" w:type="dxa"/>
            </w:tcMar>
            <w:vAlign w:val="top"/>
          </w:tcPr>
          <w:p>
            <w:pPr>
              <w:spacing w:after="0" w:line="240" w:lineRule="auto"/>
              <w:keepNext w:val="1"/>
            </w:pPr>
            <w:r>
              <w:rPr>
                <w:sz w:val="15"/>
              </w:rPr>
              <w:t>Provincially recognized clinical roles, allied health, operations and support staff require funded positions and retention plans.</w:t>
            </w:r>
          </w:p>
        </w:tc>
      </w:tr>
      <w:tr>
        <w:trPr>
          <w:cantSplit w:val="true"/>
          <w:trHeight w:hRule="atLeast"/>
        </w:trPr>
        <w:tc>
          <w:tcPr>
            <w:tcW w:type="dxa" w:w="2592"/>
            <w:shd w:fill="F3F4F4"/>
            <w:tcMar>
              <w:top w:w="42" w:type="dxa"/>
              <w:start w:w="100" w:type="dxa"/>
              <w:bottom w:w="42" w:type="dxa"/>
              <w:end w:w="100" w:type="dxa"/>
            </w:tcMar>
            <w:vAlign w:val="top"/>
          </w:tcPr>
          <w:p>
            <w:pPr>
              <w:spacing w:after="0" w:line="240" w:lineRule="auto"/>
              <w:keepNext w:val="1"/>
            </w:pPr>
            <w:r>
              <w:rPr>
                <w:b/>
                <w:color w:val="2D3436"/>
                <w:sz w:val="15"/>
              </w:rPr>
              <w:t>Resource Development</w:t>
            </w:r>
          </w:p>
        </w:tc>
        <w:tc>
          <w:tcPr>
            <w:tcW w:type="dxa" w:w="7848"/>
            <w:shd w:fill="F3F4F4"/>
            <w:tcMar>
              <w:top w:w="42" w:type="dxa"/>
              <w:start w:w="100" w:type="dxa"/>
              <w:bottom w:w="42" w:type="dxa"/>
              <w:end w:w="100" w:type="dxa"/>
            </w:tcMar>
            <w:vAlign w:val="top"/>
          </w:tcPr>
          <w:p>
            <w:pPr>
              <w:spacing w:after="0" w:line="240" w:lineRule="auto"/>
              <w:keepNext w:val="1"/>
            </w:pPr>
            <w:r>
              <w:rPr>
                <w:sz w:val="15"/>
              </w:rPr>
              <w:t>Water operators, engineers, environmental specialists and resource trades are safety- and licence-critical.</w:t>
            </w:r>
          </w:p>
        </w:tc>
      </w:tr>
      <w:tr>
        <w:trPr>
          <w:cantSplit w:val="true"/>
          <w:trHeight w:hRule="atLeast"/>
        </w:trPr>
        <w:tc>
          <w:tcPr>
            <w:tcW w:type="dxa" w:w="2592"/>
            <w:shd w:fill="FFFFFF"/>
            <w:tcMar>
              <w:top w:w="42" w:type="dxa"/>
              <w:start w:w="100" w:type="dxa"/>
              <w:bottom w:w="42" w:type="dxa"/>
              <w:end w:w="100" w:type="dxa"/>
            </w:tcMar>
            <w:vAlign w:val="top"/>
          </w:tcPr>
          <w:p>
            <w:pPr>
              <w:spacing w:after="0" w:line="240" w:lineRule="auto"/>
            </w:pPr>
            <w:r>
              <w:rPr>
                <w:b/>
                <w:color w:val="2D3436"/>
                <w:sz w:val="15"/>
              </w:rPr>
              <w:t>Energy and Digital</w:t>
            </w:r>
          </w:p>
        </w:tc>
        <w:tc>
          <w:tcPr>
            <w:tcW w:type="dxa" w:w="7848"/>
            <w:shd w:fill="FFFFFF"/>
            <w:tcMar>
              <w:top w:w="42" w:type="dxa"/>
              <w:start w:w="100" w:type="dxa"/>
              <w:bottom w:w="42" w:type="dxa"/>
              <w:end w:w="100" w:type="dxa"/>
            </w:tcMar>
            <w:vAlign w:val="top"/>
          </w:tcPr>
          <w:p>
            <w:pPr>
              <w:spacing w:after="0" w:line="240" w:lineRule="auto"/>
            </w:pPr>
            <w:r>
              <w:rPr>
                <w:sz w:val="15"/>
              </w:rPr>
              <w:t>Electricians, lineworkers, technicians, cyber specialists and network operators determine build and operating capacity.</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04"/>
            <w:shd w:fill="244C5A"/>
            <w:tcMar>
              <w:top w:w="58" w:type="dxa"/>
              <w:start w:w="100" w:type="dxa"/>
              <w:bottom w:w="58" w:type="dxa"/>
              <w:end w:w="100" w:type="dxa"/>
            </w:tcMar>
            <w:vAlign w:val="center"/>
          </w:tcPr>
          <w:p>
            <w:pPr>
              <w:spacing w:after="0"/>
              <w:keepNext w:val="1"/>
            </w:pPr>
            <w:r>
              <w:rPr>
                <w:b/>
                <w:color w:val="FFFFFF"/>
                <w:sz w:val="16"/>
              </w:rPr>
              <w:t>Actor</w:t>
            </w:r>
          </w:p>
        </w:tc>
        <w:tc>
          <w:tcPr>
            <w:tcW w:type="dxa" w:w="8136"/>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304"/>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136"/>
            <w:shd w:fill="FFFFFF"/>
            <w:tcMar>
              <w:top w:w="42" w:type="dxa"/>
              <w:start w:w="100" w:type="dxa"/>
              <w:bottom w:w="42" w:type="dxa"/>
              <w:end w:w="100" w:type="dxa"/>
            </w:tcMar>
            <w:vAlign w:val="top"/>
          </w:tcPr>
          <w:p>
            <w:pPr>
              <w:spacing w:after="0" w:line="240" w:lineRule="auto"/>
              <w:keepNext w:val="1"/>
            </w:pPr>
            <w:r>
              <w:rPr>
                <w:sz w:val="15"/>
              </w:rPr>
              <w:t>Consolidated demand forecast, convening, lawful procurement conditions, barrier supports, outcome reporting and alignment with project schedules.</w:t>
            </w:r>
          </w:p>
        </w:tc>
      </w:tr>
      <w:tr>
        <w:trPr>
          <w:cantSplit w:val="true"/>
          <w:trHeight w:hRule="atLeast"/>
        </w:trPr>
        <w:tc>
          <w:tcPr>
            <w:tcW w:type="dxa" w:w="2304"/>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136"/>
            <w:shd w:fill="F3F4F4"/>
            <w:tcMar>
              <w:top w:w="42" w:type="dxa"/>
              <w:start w:w="100" w:type="dxa"/>
              <w:bottom w:w="42" w:type="dxa"/>
              <w:end w:w="100" w:type="dxa"/>
            </w:tcMar>
            <w:vAlign w:val="top"/>
          </w:tcPr>
          <w:p>
            <w:pPr>
              <w:spacing w:after="0" w:line="240" w:lineRule="auto"/>
              <w:keepNext w:val="1"/>
            </w:pPr>
            <w:r>
              <w:rPr>
                <w:sz w:val="15"/>
              </w:rPr>
              <w:t>Apprenticeship, trade certification, education and labour regulation, employment programs and professional requirements.</w:t>
            </w:r>
          </w:p>
        </w:tc>
      </w:tr>
      <w:tr>
        <w:trPr>
          <w:cantSplit w:val="true"/>
          <w:trHeight w:hRule="atLeast"/>
        </w:trPr>
        <w:tc>
          <w:tcPr>
            <w:tcW w:type="dxa" w:w="2304"/>
            <w:shd w:fill="FFFFFF"/>
            <w:tcMar>
              <w:top w:w="42" w:type="dxa"/>
              <w:start w:w="100" w:type="dxa"/>
              <w:bottom w:w="42" w:type="dxa"/>
              <w:end w:w="100" w:type="dxa"/>
            </w:tcMar>
            <w:vAlign w:val="top"/>
          </w:tcPr>
          <w:p>
            <w:pPr>
              <w:spacing w:after="0" w:line="240" w:lineRule="auto"/>
              <w:keepNext w:val="1"/>
            </w:pPr>
            <w:r>
              <w:rPr>
                <w:b/>
                <w:color w:val="2D3436"/>
                <w:sz w:val="15"/>
              </w:rPr>
              <w:t>Federal government</w:t>
            </w:r>
          </w:p>
        </w:tc>
        <w:tc>
          <w:tcPr>
            <w:tcW w:type="dxa" w:w="8136"/>
            <w:shd w:fill="FFFFFF"/>
            <w:tcMar>
              <w:top w:w="42" w:type="dxa"/>
              <w:start w:w="100" w:type="dxa"/>
              <w:bottom w:w="42" w:type="dxa"/>
              <w:end w:w="100" w:type="dxa"/>
            </w:tcMar>
            <w:vAlign w:val="top"/>
          </w:tcPr>
          <w:p>
            <w:pPr>
              <w:spacing w:after="0" w:line="240" w:lineRule="auto"/>
              <w:keepNext w:val="1"/>
            </w:pPr>
            <w:r>
              <w:rPr>
                <w:sz w:val="15"/>
              </w:rPr>
              <w:t>Federal labour-market, immigration and training roles and support for interprovincial Red Seal collaboration.</w:t>
            </w:r>
          </w:p>
        </w:tc>
      </w:tr>
      <w:tr>
        <w:trPr>
          <w:cantSplit w:val="true"/>
          <w:trHeight w:hRule="atLeast"/>
        </w:trPr>
        <w:tc>
          <w:tcPr>
            <w:tcW w:type="dxa" w:w="2304"/>
            <w:shd w:fill="F3F4F4"/>
            <w:tcMar>
              <w:top w:w="42" w:type="dxa"/>
              <w:start w:w="100" w:type="dxa"/>
              <w:bottom w:w="42" w:type="dxa"/>
              <w:end w:w="100" w:type="dxa"/>
            </w:tcMar>
            <w:vAlign w:val="top"/>
          </w:tcPr>
          <w:p>
            <w:pPr>
              <w:spacing w:after="0" w:line="240" w:lineRule="auto"/>
              <w:keepNext w:val="1"/>
            </w:pPr>
            <w:r>
              <w:rPr>
                <w:b/>
                <w:color w:val="2D3436"/>
                <w:sz w:val="15"/>
              </w:rPr>
              <w:t>Employers and unions</w:t>
            </w:r>
          </w:p>
        </w:tc>
        <w:tc>
          <w:tcPr>
            <w:tcW w:type="dxa" w:w="8136"/>
            <w:shd w:fill="F3F4F4"/>
            <w:tcMar>
              <w:top w:w="42" w:type="dxa"/>
              <w:start w:w="100" w:type="dxa"/>
              <w:bottom w:w="42" w:type="dxa"/>
              <w:end w:w="100" w:type="dxa"/>
            </w:tcMar>
            <w:vAlign w:val="top"/>
          </w:tcPr>
          <w:p>
            <w:pPr>
              <w:spacing w:after="0" w:line="240" w:lineRule="auto"/>
              <w:keepNext w:val="1"/>
            </w:pPr>
            <w:r>
              <w:rPr>
                <w:sz w:val="15"/>
              </w:rPr>
              <w:t>Job and apprenticeship commitments, supervision, hours, wages, safe work, collective-agreement obligations and retention.</w:t>
            </w:r>
          </w:p>
        </w:tc>
      </w:tr>
      <w:tr>
        <w:trPr>
          <w:cantSplit w:val="true"/>
          <w:trHeight w:hRule="atLeast"/>
        </w:trPr>
        <w:tc>
          <w:tcPr>
            <w:tcW w:type="dxa" w:w="2304"/>
            <w:shd w:fill="FFFFFF"/>
            <w:tcMar>
              <w:top w:w="42" w:type="dxa"/>
              <w:start w:w="100" w:type="dxa"/>
              <w:bottom w:w="42" w:type="dxa"/>
              <w:end w:w="100" w:type="dxa"/>
            </w:tcMar>
            <w:vAlign w:val="top"/>
          </w:tcPr>
          <w:p>
            <w:pPr>
              <w:spacing w:after="0" w:line="240" w:lineRule="auto"/>
            </w:pPr>
            <w:r>
              <w:rPr>
                <w:b/>
                <w:color w:val="2D3436"/>
                <w:sz w:val="15"/>
              </w:rPr>
              <w:t>Colleges and trainers</w:t>
            </w:r>
          </w:p>
        </w:tc>
        <w:tc>
          <w:tcPr>
            <w:tcW w:type="dxa" w:w="8136"/>
            <w:shd w:fill="FFFFFF"/>
            <w:tcMar>
              <w:top w:w="42" w:type="dxa"/>
              <w:start w:w="100" w:type="dxa"/>
              <w:bottom w:w="42" w:type="dxa"/>
              <w:end w:w="100" w:type="dxa"/>
            </w:tcMar>
            <w:vAlign w:val="top"/>
          </w:tcPr>
          <w:p>
            <w:pPr>
              <w:spacing w:after="0" w:line="240" w:lineRule="auto"/>
            </w:pPr>
            <w:r>
              <w:rPr>
                <w:sz w:val="15"/>
              </w:rPr>
              <w:t>Recognized curriculum, assessment, learner support and capacity responsive to confirmed demand.</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728"/>
            <w:shd w:fill="244C5A"/>
            <w:tcMar>
              <w:top w:w="58" w:type="dxa"/>
              <w:start w:w="100" w:type="dxa"/>
              <w:bottom w:w="58" w:type="dxa"/>
              <w:end w:w="100" w:type="dxa"/>
            </w:tcMar>
            <w:vAlign w:val="center"/>
          </w:tcPr>
          <w:p>
            <w:pPr>
              <w:spacing w:after="0"/>
              <w:keepNext w:val="1"/>
            </w:pPr>
            <w:r>
              <w:rPr>
                <w:b/>
                <w:color w:val="FFFFFF"/>
                <w:sz w:val="16"/>
              </w:rPr>
              <w:t>Gate</w:t>
            </w:r>
          </w:p>
        </w:tc>
        <w:tc>
          <w:tcPr>
            <w:tcW w:type="dxa" w:w="8712"/>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Demand</w:t>
            </w:r>
          </w:p>
        </w:tc>
        <w:tc>
          <w:tcPr>
            <w:tcW w:type="dxa" w:w="8712"/>
            <w:shd w:fill="FFFFFF"/>
            <w:tcMar>
              <w:top w:w="42" w:type="dxa"/>
              <w:start w:w="100" w:type="dxa"/>
              <w:bottom w:w="42" w:type="dxa"/>
              <w:end w:w="100" w:type="dxa"/>
            </w:tcMar>
            <w:vAlign w:val="top"/>
          </w:tcPr>
          <w:p>
            <w:pPr>
              <w:spacing w:after="0" w:line="240" w:lineRule="auto"/>
              <w:keepNext w:val="1"/>
            </w:pPr>
            <w:r>
              <w:rPr>
                <w:sz w:val="15"/>
              </w:rPr>
              <w:t>Which funded or high-probability jobs exist, when, at what wage and for how long?</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Credential</w:t>
            </w:r>
          </w:p>
        </w:tc>
        <w:tc>
          <w:tcPr>
            <w:tcW w:type="dxa" w:w="8712"/>
            <w:shd w:fill="F3F4F4"/>
            <w:tcMar>
              <w:top w:w="42" w:type="dxa"/>
              <w:start w:w="100" w:type="dxa"/>
              <w:bottom w:w="42" w:type="dxa"/>
              <w:end w:w="100" w:type="dxa"/>
            </w:tcMar>
            <w:vAlign w:val="top"/>
          </w:tcPr>
          <w:p>
            <w:pPr>
              <w:spacing w:after="0" w:line="240" w:lineRule="auto"/>
              <w:keepNext w:val="1"/>
            </w:pPr>
            <w:r>
              <w:rPr>
                <w:sz w:val="15"/>
              </w:rPr>
              <w:t>Which recognized qualification is required, who controls it and how long does it take?</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Placement</w:t>
            </w:r>
          </w:p>
        </w:tc>
        <w:tc>
          <w:tcPr>
            <w:tcW w:type="dxa" w:w="8712"/>
            <w:shd w:fill="FFFFFF"/>
            <w:tcMar>
              <w:top w:w="42" w:type="dxa"/>
              <w:start w:w="100" w:type="dxa"/>
              <w:bottom w:w="42" w:type="dxa"/>
              <w:end w:w="100" w:type="dxa"/>
            </w:tcMar>
            <w:vAlign w:val="top"/>
          </w:tcPr>
          <w:p>
            <w:pPr>
              <w:spacing w:after="0" w:line="240" w:lineRule="auto"/>
              <w:keepNext w:val="1"/>
            </w:pPr>
            <w:r>
              <w:rPr>
                <w:sz w:val="15"/>
              </w:rPr>
              <w:t>Which employers and unions have committed supervisors, hours and positions?</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Access</w:t>
            </w:r>
          </w:p>
        </w:tc>
        <w:tc>
          <w:tcPr>
            <w:tcW w:type="dxa" w:w="8712"/>
            <w:shd w:fill="F3F4F4"/>
            <w:tcMar>
              <w:top w:w="42" w:type="dxa"/>
              <w:start w:w="100" w:type="dxa"/>
              <w:bottom w:w="42" w:type="dxa"/>
              <w:end w:w="100" w:type="dxa"/>
            </w:tcMar>
            <w:vAlign w:val="top"/>
          </w:tcPr>
          <w:p>
            <w:pPr>
              <w:spacing w:after="0" w:line="240" w:lineRule="auto"/>
              <w:keepNext w:val="1"/>
            </w:pPr>
            <w:r>
              <w:rPr>
                <w:sz w:val="15"/>
              </w:rPr>
              <w:t>Which barriers prevent qualified residents from entering or completing the pathway, and which support has evidence?</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Economics</w:t>
            </w:r>
          </w:p>
        </w:tc>
        <w:tc>
          <w:tcPr>
            <w:tcW w:type="dxa" w:w="8712"/>
            <w:shd w:fill="FFFFFF"/>
            <w:tcMar>
              <w:top w:w="42" w:type="dxa"/>
              <w:start w:w="100" w:type="dxa"/>
              <w:bottom w:w="42" w:type="dxa"/>
              <w:end w:w="100" w:type="dxa"/>
            </w:tcMar>
            <w:vAlign w:val="top"/>
          </w:tcPr>
          <w:p>
            <w:pPr>
              <w:spacing w:after="0" w:line="240" w:lineRule="auto"/>
              <w:keepNext w:val="1"/>
            </w:pPr>
            <w:r>
              <w:rPr>
                <w:sz w:val="15"/>
              </w:rPr>
              <w:t>What is public cost per completion and sustained placement compared with recruitment or contracting alternatives?</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pPr>
            <w:r>
              <w:rPr>
                <w:b/>
                <w:color w:val="2D3436"/>
                <w:sz w:val="15"/>
              </w:rPr>
              <w:t>Retention</w:t>
            </w:r>
          </w:p>
        </w:tc>
        <w:tc>
          <w:tcPr>
            <w:tcW w:type="dxa" w:w="8712"/>
            <w:shd w:fill="F3F4F4"/>
            <w:tcMar>
              <w:top w:w="42" w:type="dxa"/>
              <w:start w:w="100" w:type="dxa"/>
              <w:bottom w:w="42" w:type="dxa"/>
              <w:end w:w="100" w:type="dxa"/>
            </w:tcMar>
            <w:vAlign w:val="top"/>
          </w:tcPr>
          <w:p>
            <w:pPr>
              <w:spacing w:after="0" w:line="240" w:lineRule="auto"/>
            </w:pPr>
            <w:r>
              <w:rPr>
                <w:sz w:val="15"/>
              </w:rPr>
              <w:t>What working conditions, housing, transport and career progression are required for 12- and 24-month retention?</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664"/>
            <w:shd w:fill="244C5A"/>
            <w:tcMar>
              <w:top w:w="58" w:type="dxa"/>
              <w:start w:w="100" w:type="dxa"/>
              <w:bottom w:w="58" w:type="dxa"/>
              <w:end w:w="100" w:type="dxa"/>
            </w:tcMar>
            <w:vAlign w:val="center"/>
          </w:tcPr>
          <w:p>
            <w:pPr>
              <w:spacing w:after="0"/>
            </w:pPr>
            <w:r>
              <w:rPr>
                <w:b/>
                <w:color w:val="FFFFFF"/>
                <w:sz w:val="16"/>
              </w:rPr>
              <w:t>Measure</w:t>
            </w:r>
          </w:p>
        </w:tc>
        <w:tc>
          <w:tcPr>
            <w:tcW w:type="dxa" w:w="7776"/>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Funded demand</w:t>
            </w:r>
          </w:p>
        </w:tc>
        <w:tc>
          <w:tcPr>
            <w:tcW w:type="dxa" w:w="7776"/>
            <w:shd w:fill="FFFFFF"/>
            <w:tcMar>
              <w:top w:w="42" w:type="dxa"/>
              <w:start w:w="100" w:type="dxa"/>
              <w:bottom w:w="42" w:type="dxa"/>
              <w:end w:w="100" w:type="dxa"/>
            </w:tcMar>
            <w:vAlign w:val="top"/>
          </w:tcPr>
          <w:p>
            <w:pPr>
              <w:spacing w:after="0" w:line="240" w:lineRule="auto"/>
            </w:pPr>
            <w:r>
              <w:rPr>
                <w:sz w:val="15"/>
              </w:rPr>
              <w:t>Vacancies and forecast roles tied to approved budgets or signed contracts; show speculative demand separately.</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Enrolment and completion</w:t>
            </w:r>
          </w:p>
        </w:tc>
        <w:tc>
          <w:tcPr>
            <w:tcW w:type="dxa" w:w="7776"/>
            <w:shd w:fill="F3F4F4"/>
            <w:tcMar>
              <w:top w:w="42" w:type="dxa"/>
              <w:start w:w="100" w:type="dxa"/>
              <w:bottom w:w="42" w:type="dxa"/>
              <w:end w:w="100" w:type="dxa"/>
            </w:tcMar>
            <w:vAlign w:val="top"/>
          </w:tcPr>
          <w:p>
            <w:pPr>
              <w:spacing w:after="0" w:line="240" w:lineRule="auto"/>
            </w:pPr>
            <w:r>
              <w:rPr>
                <w:sz w:val="15"/>
              </w:rPr>
              <w:t>Entrants and successful completions by pathway and cohort, with reasons for withdrawal.</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Certification</w:t>
            </w:r>
          </w:p>
        </w:tc>
        <w:tc>
          <w:tcPr>
            <w:tcW w:type="dxa" w:w="7776"/>
            <w:shd w:fill="FFFFFF"/>
            <w:tcMar>
              <w:top w:w="42" w:type="dxa"/>
              <w:start w:w="100" w:type="dxa"/>
              <w:bottom w:w="42" w:type="dxa"/>
              <w:end w:w="100" w:type="dxa"/>
            </w:tcMar>
            <w:vAlign w:val="top"/>
          </w:tcPr>
          <w:p>
            <w:pPr>
              <w:spacing w:after="0" w:line="240" w:lineRule="auto"/>
            </w:pPr>
            <w:r>
              <w:rPr>
                <w:sz w:val="15"/>
              </w:rPr>
              <w:t>Recognized credentials achieved, including apprenticeship progression and Red Seal where applicable.</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Placement</w:t>
            </w:r>
          </w:p>
        </w:tc>
        <w:tc>
          <w:tcPr>
            <w:tcW w:type="dxa" w:w="7776"/>
            <w:shd w:fill="F3F4F4"/>
            <w:tcMar>
              <w:top w:w="42" w:type="dxa"/>
              <w:start w:w="100" w:type="dxa"/>
              <w:bottom w:w="42" w:type="dxa"/>
              <w:end w:w="100" w:type="dxa"/>
            </w:tcMar>
            <w:vAlign w:val="top"/>
          </w:tcPr>
          <w:p>
            <w:pPr>
              <w:spacing w:after="0" w:line="240" w:lineRule="auto"/>
            </w:pPr>
            <w:r>
              <w:rPr>
                <w:sz w:val="15"/>
              </w:rPr>
              <w:t>Participants in related paid employment within six months; identify employer and job quality without compromising privacy.</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Wage and job quality</w:t>
            </w:r>
          </w:p>
        </w:tc>
        <w:tc>
          <w:tcPr>
            <w:tcW w:type="dxa" w:w="7776"/>
            <w:shd w:fill="FFFFFF"/>
            <w:tcMar>
              <w:top w:w="42" w:type="dxa"/>
              <w:start w:w="100" w:type="dxa"/>
              <w:bottom w:w="42" w:type="dxa"/>
              <w:end w:w="100" w:type="dxa"/>
            </w:tcMar>
            <w:vAlign w:val="top"/>
          </w:tcPr>
          <w:p>
            <w:pPr>
              <w:spacing w:after="0" w:line="240" w:lineRule="auto"/>
            </w:pPr>
            <w:r>
              <w:rPr>
                <w:sz w:val="15"/>
              </w:rPr>
              <w:t>Starting and median wage, scheduled hours, benefits, permanence and collective-agreement status where relevant.</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Retention</w:t>
            </w:r>
          </w:p>
        </w:tc>
        <w:tc>
          <w:tcPr>
            <w:tcW w:type="dxa" w:w="7776"/>
            <w:shd w:fill="F3F4F4"/>
            <w:tcMar>
              <w:top w:w="42" w:type="dxa"/>
              <w:start w:w="100" w:type="dxa"/>
              <w:bottom w:w="42" w:type="dxa"/>
              <w:end w:w="100" w:type="dxa"/>
            </w:tcMar>
            <w:vAlign w:val="top"/>
          </w:tcPr>
          <w:p>
            <w:pPr>
              <w:spacing w:after="0" w:line="240" w:lineRule="auto"/>
            </w:pPr>
            <w:r>
              <w:rPr>
                <w:sz w:val="15"/>
              </w:rPr>
              <w:t>Share still in related local or regional employment at 12 and 24 months; distinguish voluntary departure, layoff and project completion.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Employer constraint</w:t>
            </w:r>
          </w:p>
        </w:tc>
        <w:tc>
          <w:tcPr>
            <w:tcW w:type="dxa" w:w="7776"/>
            <w:shd w:fill="FFFFFF"/>
            <w:tcMar>
              <w:top w:w="42" w:type="dxa"/>
              <w:start w:w="100" w:type="dxa"/>
              <w:bottom w:w="42" w:type="dxa"/>
              <w:end w:w="100" w:type="dxa"/>
            </w:tcMar>
            <w:vAlign w:val="top"/>
          </w:tcPr>
          <w:p>
            <w:pPr>
              <w:spacing w:after="0" w:line="240" w:lineRule="auto"/>
            </w:pPr>
            <w:r>
              <w:rPr>
                <w:sz w:val="15"/>
              </w:rPr>
              <w:t>Vacancy duration, unfilled shifts, overtime, contractor dependence and supervisor capacity.</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Unit cost and equity</w:t>
            </w:r>
          </w:p>
        </w:tc>
        <w:tc>
          <w:tcPr>
            <w:tcW w:type="dxa" w:w="7776"/>
            <w:shd w:fill="F3F4F4"/>
            <w:tcMar>
              <w:top w:w="42" w:type="dxa"/>
              <w:start w:w="100" w:type="dxa"/>
              <w:bottom w:w="42" w:type="dxa"/>
              <w:end w:w="100" w:type="dxa"/>
            </w:tcMar>
            <w:vAlign w:val="top"/>
          </w:tcPr>
          <w:p>
            <w:pPr>
              <w:spacing w:after="0" w:line="240" w:lineRule="auto"/>
            </w:pPr>
            <w:r>
              <w:rPr>
                <w:sz w:val="15"/>
              </w:rPr>
              <w:t>Public cost per completion and sustained placement; access and outcomes by relevant group, with privacy safeguards.</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Provinces and territories are responsible for apprenticeship and trade certification. The Canadian Council of Directors of Apprenticeship and Red Seal Program support interprovincial collaboration and harmonization.</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Local project probability, occupation demand, existing workforce, retirements, training seats, employer and union capacity, wage, barriers, placements and retention.</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A shared municipal demand pipeline could improve training alignment, reduce vacancy time and retain more workers. The effect must be tested by cohorts linked to actual projects.</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Training does not create a job by itself; CDMM does not replace provincial credentials, employers, unions or colleges, and it should not count every trainee as a new job.</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448"/>
            <w:shd w:fill="244C5A"/>
            <w:tcMar>
              <w:top w:w="58" w:type="dxa"/>
              <w:start w:w="100" w:type="dxa"/>
              <w:bottom w:w="58" w:type="dxa"/>
              <w:end w:w="100" w:type="dxa"/>
            </w:tcMar>
            <w:vAlign w:val="center"/>
          </w:tcPr>
          <w:p>
            <w:pPr>
              <w:spacing w:after="0"/>
              <w:keepNext w:val="1"/>
            </w:pPr>
            <w:r>
              <w:rPr>
                <w:b/>
                <w:color w:val="FFFFFF"/>
                <w:sz w:val="16"/>
              </w:rPr>
              <w:t>Risk</w:t>
            </w:r>
          </w:p>
        </w:tc>
        <w:tc>
          <w:tcPr>
            <w:tcW w:type="dxa" w:w="7992"/>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Training without jobs</w:t>
            </w:r>
          </w:p>
        </w:tc>
        <w:tc>
          <w:tcPr>
            <w:tcW w:type="dxa" w:w="7992"/>
            <w:shd w:fill="FFFFFF"/>
            <w:tcMar>
              <w:top w:w="42" w:type="dxa"/>
              <w:start w:w="100" w:type="dxa"/>
              <w:bottom w:w="42" w:type="dxa"/>
              <w:end w:w="100" w:type="dxa"/>
            </w:tcMar>
            <w:vAlign w:val="top"/>
          </w:tcPr>
          <w:p>
            <w:pPr>
              <w:spacing w:after="0" w:line="240" w:lineRule="auto"/>
              <w:keepNext w:val="1"/>
            </w:pPr>
            <w:r>
              <w:rPr>
                <w:sz w:val="15"/>
              </w:rPr>
              <w:t>Require a probability-rated demand schedule and employer placement commitments before each cohort.</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Low completion</w:t>
            </w:r>
          </w:p>
        </w:tc>
        <w:tc>
          <w:tcPr>
            <w:tcW w:type="dxa" w:w="7992"/>
            <w:shd w:fill="F3F4F4"/>
            <w:tcMar>
              <w:top w:w="42" w:type="dxa"/>
              <w:start w:w="100" w:type="dxa"/>
              <w:bottom w:w="42" w:type="dxa"/>
              <w:end w:w="100" w:type="dxa"/>
            </w:tcMar>
            <w:vAlign w:val="top"/>
          </w:tcPr>
          <w:p>
            <w:pPr>
              <w:spacing w:after="0" w:line="240" w:lineRule="auto"/>
              <w:keepNext w:val="1"/>
            </w:pPr>
            <w:r>
              <w:rPr>
                <w:sz w:val="15"/>
              </w:rPr>
              <w:t>Paid learning, barrier assessment, mentorship and early-warning reporting.</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Job-quality mismatch</w:t>
            </w:r>
          </w:p>
        </w:tc>
        <w:tc>
          <w:tcPr>
            <w:tcW w:type="dxa" w:w="7992"/>
            <w:shd w:fill="FFFFFF"/>
            <w:tcMar>
              <w:top w:w="42" w:type="dxa"/>
              <w:start w:w="100" w:type="dxa"/>
              <w:bottom w:w="42" w:type="dxa"/>
              <w:end w:w="100" w:type="dxa"/>
            </w:tcMar>
            <w:vAlign w:val="top"/>
          </w:tcPr>
          <w:p>
            <w:pPr>
              <w:spacing w:after="0" w:line="240" w:lineRule="auto"/>
              <w:keepNext w:val="1"/>
            </w:pPr>
            <w:r>
              <w:rPr>
                <w:sz w:val="15"/>
              </w:rPr>
              <w:t>Publish wage, hours, duration and retention rather than placement alone.</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Recruitment displacement</w:t>
            </w:r>
          </w:p>
        </w:tc>
        <w:tc>
          <w:tcPr>
            <w:tcW w:type="dxa" w:w="7992"/>
            <w:shd w:fill="F3F4F4"/>
            <w:tcMar>
              <w:top w:w="42" w:type="dxa"/>
              <w:start w:w="100" w:type="dxa"/>
              <w:bottom w:w="42" w:type="dxa"/>
              <w:end w:w="100" w:type="dxa"/>
            </w:tcMar>
            <w:vAlign w:val="top"/>
          </w:tcPr>
          <w:p>
            <w:pPr>
              <w:spacing w:after="0" w:line="240" w:lineRule="auto"/>
              <w:keepNext w:val="1"/>
            </w:pPr>
            <w:r>
              <w:rPr>
                <w:sz w:val="15"/>
              </w:rPr>
              <w:t>Track whether placements add capacity or transfer shortages from neighbouring employers.</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pPr>
            <w:r>
              <w:rPr>
                <w:b/>
                <w:color w:val="2D3436"/>
                <w:sz w:val="15"/>
              </w:rPr>
              <w:t>Favouritism</w:t>
            </w:r>
          </w:p>
        </w:tc>
        <w:tc>
          <w:tcPr>
            <w:tcW w:type="dxa" w:w="7992"/>
            <w:shd w:fill="FFFFFF"/>
            <w:tcMar>
              <w:top w:w="42" w:type="dxa"/>
              <w:start w:w="100" w:type="dxa"/>
              <w:bottom w:w="42" w:type="dxa"/>
              <w:end w:w="100" w:type="dxa"/>
            </w:tcMar>
            <w:vAlign w:val="top"/>
          </w:tcPr>
          <w:p>
            <w:pPr>
              <w:spacing w:after="0" w:line="240" w:lineRule="auto"/>
            </w:pPr>
            <w:r>
              <w:rPr>
                <w:sz w:val="15"/>
              </w:rPr>
              <w:t>Open eligibility, published selection criteria, conflicts rules and appeal process.</w:t>
            </w:r>
          </w:p>
        </w:tc>
      </w:tr>
    </w:tbl>
    <w:p>
      <w:pPr>
        <w:spacing w:after="0" w:line="40" w:lineRule="exact"/>
      </w:pPr>
      <w:r>
        <w:rPr>
          <w:sz w:val="2"/>
        </w:rPr>
        <w:t xml:space="preserve"> </w:t>
      </w:r>
    </w:p>
    <w:p>
      <w:pPr>
        <w:pStyle w:val="Heading1"/>
        <w:keepNext w:val="1"/>
        <w:keepLines w:val="1"/>
      </w:pPr>
      <w:r>
        <w:t>Acknowledgement and source</w:t>
      </w:r>
    </w:p>
    <w:p>
      <w:pPr>
        <w:pStyle w:val="BodyText"/>
      </w:pPr>
      <w:r>
        <w:t>The CDMM concept of People as a Productive Resource was developed with a contribution from Courtney McLaughlin. This acknowledgement should appear on the published Workforce &amp; Skills page.</w:t>
      </w:r>
    </w:p>
    <w:p>
      <w:pPr>
        <w:pStyle w:val="Source"/>
      </w:pPr>
      <w:r>
        <w:rPr>
          <w:b/>
        </w:rPr>
        <w:t xml:space="preserve">W1  </w:t>
      </w:r>
      <w:hyperlink r:id="rId27">
        <w:r>
          <w:rPr>
            <w:color w:val="244C5A"/>
            <w:u w:val="single"/>
            <w:rFonts w:ascii="Aptos" w:hAnsi="Aptos"/>
          </w:rPr>
          <w:t>Canadian Council of Directors of Apprenticeship Activity Review 2023–2024</w:t>
        </w:r>
      </w:hyperlink>
      <w:r>
        <w:t xml:space="preserve"> — Explains provincial and territorial responsibility and Red Seal collaboration; it does not establish local CDMM labour outcomes.</w:t>
      </w:r>
    </w:p>
    <w:p>
      <w:r>
        <w:br w:type="page"/>
      </w:r>
    </w:p>
    <w:p>
      <w:pPr>
        <w:pStyle w:val="Kicker"/>
        <w:keepNext w:val="1"/>
        <w:keepLines w:val="1"/>
      </w:pPr>
      <w:r>
        <w:t>AUTONOMY 07  |  SUGGESTED SLUG /RESOURCE-DEVELOPMENT-AUTONOMY</w:t>
      </w:r>
    </w:p>
    <w:p>
      <w:pPr>
        <w:pStyle w:val="TitlePage"/>
        <w:keepNext w:val="1"/>
        <w:keepLines w:val="1"/>
      </w:pPr>
      <w:bookmarkStart w:id="481172" w:name="resources"/>
      <w:bookmarkEnd w:id="481172"/>
      <w:r>
        <w:t>Resource Development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Resource Development Autonomy is the municipal capacity to steward potable water, wastewater and stormwater systems and to participate lawfully in natural-resource development so local benefits, costs, rights and lifecycle liabilities are visible.</w:t>
            </w:r>
          </w:p>
        </w:tc>
      </w:tr>
    </w:tbl>
    <w:p>
      <w:pPr>
        <w:spacing w:after="0"/>
      </w:pPr>
    </w:p>
    <w:p>
      <w:pPr>
        <w:pStyle w:val="Heading1"/>
        <w:keepNext w:val="1"/>
        <w:keepLines w:val="1"/>
      </w:pPr>
      <w:r>
        <w:t>Why this component exists</w:t>
      </w:r>
    </w:p>
    <w:p>
      <w:pPr>
        <w:pStyle w:val="BodyText"/>
      </w:pPr>
      <w:r>
        <w:t>Water systems and natural-resource activity share a place-bound governance problem: decisions affect land, water, infrastructure, residents and future liabilities in a specific community, while core legislative powers and regulatory approvals often sit with provinces, territories, the federal government and Indigenous rights holders. Housing, industry and public health cannot be planned credibly without this field.</w:t>
      </w:r>
    </w:p>
    <w:p>
      <w:pPr>
        <w:pStyle w:val="BodyText"/>
      </w:pPr>
      <w:r>
        <w:t>The Autonomy has two operating tracks that must remain separately accounted. The essential-systems track covers source-to-tap drinking water, wastewater and stormwater. The resource-participation track covers municipal infrastructure, services, equity or revenue participation, procurement and benefit arrangements in forestry, mining, fisheries, aggregates or other locally relevant resources where lawful. Combining the field does not justify blending water-utility funds with speculative resource investment.</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Potable water</w:t>
            </w:r>
          </w:p>
        </w:tc>
        <w:tc>
          <w:tcPr>
            <w:tcW w:type="dxa" w:w="7560"/>
            <w:shd w:fill="FFFFFF"/>
            <w:tcMar>
              <w:top w:w="68" w:type="dxa"/>
              <w:start w:w="100" w:type="dxa"/>
              <w:bottom w:w="68" w:type="dxa"/>
              <w:end w:w="100" w:type="dxa"/>
            </w:tcMar>
            <w:vAlign w:val="top"/>
          </w:tcPr>
          <w:p>
            <w:pPr>
              <w:spacing w:after="0" w:line="240" w:lineRule="auto"/>
              <w:keepNext w:val="1"/>
            </w:pPr>
            <w:r>
              <w:rPr>
                <w:sz w:val="17"/>
              </w:rPr>
              <w:t>Source protection, treatment, storage, distribution, monitoring, advisories, asset management and renewal.</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Wastewater and stormwater</w:t>
            </w:r>
          </w:p>
        </w:tc>
        <w:tc>
          <w:tcPr>
            <w:tcW w:type="dxa" w:w="7560"/>
            <w:shd w:fill="F3F4F4"/>
            <w:tcMar>
              <w:top w:w="68" w:type="dxa"/>
              <w:start w:w="100" w:type="dxa"/>
              <w:bottom w:w="68" w:type="dxa"/>
              <w:end w:w="100" w:type="dxa"/>
            </w:tcMar>
            <w:vAlign w:val="top"/>
          </w:tcPr>
          <w:p>
            <w:pPr>
              <w:spacing w:after="0" w:line="240" w:lineRule="auto"/>
              <w:keepNext w:val="1"/>
            </w:pPr>
            <w:r>
              <w:rPr>
                <w:sz w:val="17"/>
              </w:rPr>
              <w:t>Collection, treatment, discharge, inflow and infiltration, overflows, drainage, flood management and climate adaptation.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Natural-resource participation</w:t>
            </w:r>
          </w:p>
        </w:tc>
        <w:tc>
          <w:tcPr>
            <w:tcW w:type="dxa" w:w="7560"/>
            <w:shd w:fill="FFFFFF"/>
            <w:tcMar>
              <w:top w:w="68" w:type="dxa"/>
              <w:start w:w="100" w:type="dxa"/>
              <w:bottom w:w="68" w:type="dxa"/>
              <w:end w:w="100" w:type="dxa"/>
            </w:tcMar>
            <w:vAlign w:val="top"/>
          </w:tcPr>
          <w:p>
            <w:pPr>
              <w:spacing w:after="0" w:line="240" w:lineRule="auto"/>
              <w:keepNext w:val="1"/>
            </w:pPr>
            <w:r>
              <w:rPr>
                <w:sz w:val="17"/>
              </w:rPr>
              <w:t>Data, land-use and infrastructure agreements, municipal services, lawful ownership or revenue participation, local procurement, workforce and rehabilitation planning.</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Private and Indigenous partners</w:t>
            </w:r>
          </w:p>
        </w:tc>
        <w:tc>
          <w:tcPr>
            <w:tcW w:type="dxa" w:w="7560"/>
            <w:shd w:fill="F3F4F4"/>
            <w:tcMar>
              <w:top w:w="68" w:type="dxa"/>
              <w:start w:w="100" w:type="dxa"/>
              <w:bottom w:w="68" w:type="dxa"/>
              <w:end w:w="100" w:type="dxa"/>
            </w:tcMar>
            <w:vAlign w:val="top"/>
          </w:tcPr>
          <w:p>
            <w:pPr>
              <w:spacing w:after="0" w:line="240" w:lineRule="auto"/>
              <w:keepNext w:val="1"/>
            </w:pPr>
            <w:r>
              <w:rPr>
                <w:sz w:val="17"/>
              </w:rPr>
              <w:t>Resource firms, utilities, farmers, contractors and Indigenous governments or businesses remain participants; municipal involvement is not a monopoly.</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Energy boundary</w:t>
            </w:r>
          </w:p>
        </w:tc>
        <w:tc>
          <w:tcPr>
            <w:tcW w:type="dxa" w:w="7560"/>
            <w:shd w:fill="FFFFFF"/>
            <w:tcMar>
              <w:top w:w="68" w:type="dxa"/>
              <w:start w:w="100" w:type="dxa"/>
              <w:bottom w:w="68" w:type="dxa"/>
              <w:end w:w="100" w:type="dxa"/>
            </w:tcMar>
            <w:vAlign w:val="top"/>
          </w:tcPr>
          <w:p>
            <w:pPr>
              <w:spacing w:after="0" w:line="240" w:lineRule="auto"/>
              <w:keepNext w:val="1"/>
            </w:pPr>
            <w:r>
              <w:rPr>
                <w:sz w:val="17"/>
              </w:rPr>
              <w:t>The resource input or land and water impacts may be assessed here; electricity generation, storage, procurement and distribution belong to Energy Autonomy.</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Authority and rights boundary</w:t>
            </w:r>
          </w:p>
        </w:tc>
        <w:tc>
          <w:tcPr>
            <w:tcW w:type="dxa" w:w="7560"/>
            <w:shd w:fill="F3F4F4"/>
            <w:tcMar>
              <w:top w:w="68" w:type="dxa"/>
              <w:start w:w="100" w:type="dxa"/>
              <w:bottom w:w="68" w:type="dxa"/>
              <w:end w:w="100" w:type="dxa"/>
            </w:tcMar>
            <w:vAlign w:val="top"/>
          </w:tcPr>
          <w:p>
            <w:pPr>
              <w:spacing w:after="0" w:line="240" w:lineRule="auto"/>
            </w:pPr>
            <w:r>
              <w:rPr>
                <w:sz w:val="17"/>
              </w:rPr>
              <w:t>No bypass of permits, Crown land or royalty rules, environmental assessment, private property, section 35 rights, treaties or Crown consultation obligations.</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Maintain a current asset, watershed and resource map with ownership, rights, condition, capacity, hazards and regulatory obligations.</w:t>
      </w:r>
    </w:p>
    <w:p>
      <w:pPr>
        <w:pStyle w:val="BodyText"/>
        <w:ind w:left="432" w:hanging="317"/>
        <w:keepLines w:val="1"/>
      </w:pPr>
      <w:r>
        <w:rPr>
          <w:b/>
        </w:rPr>
        <w:t xml:space="preserve">2.  </w:t>
      </w:r>
      <w:r>
        <w:t>For water systems, forecast demand and climate risk, identify compliance and renewal gaps, then prioritize source protection and lifecycle reliability before expansion.</w:t>
      </w:r>
    </w:p>
    <w:p>
      <w:pPr>
        <w:pStyle w:val="BodyText"/>
        <w:ind w:left="432" w:hanging="317"/>
        <w:keepLines w:val="1"/>
      </w:pPr>
      <w:r>
        <w:rPr>
          <w:b/>
        </w:rPr>
        <w:t xml:space="preserve">3.  </w:t>
      </w:r>
      <w:r>
        <w:t>For resource activity, define the municipal objective—service recovery, infrastructure agreement, procurement, employment, revenue, ownership or remediation—and compare each tool on risk.</w:t>
      </w:r>
    </w:p>
    <w:p>
      <w:pPr>
        <w:pStyle w:val="BodyText"/>
        <w:ind w:left="432" w:hanging="317"/>
        <w:keepLines w:val="1"/>
      </w:pPr>
      <w:r>
        <w:rPr>
          <w:b/>
        </w:rPr>
        <w:t xml:space="preserve">4.  </w:t>
      </w:r>
      <w:r>
        <w:t>Engage the responsible Crown and Indigenous rights holders early. Municipal engagement and proponent agreements do not replace the Crown’s constitutional duties.</w:t>
      </w:r>
    </w:p>
    <w:p>
      <w:pPr>
        <w:pStyle w:val="BodyText"/>
        <w:ind w:left="432" w:hanging="317"/>
        <w:keepLines w:val="1"/>
      </w:pPr>
      <w:r>
        <w:rPr>
          <w:b/>
        </w:rPr>
        <w:t xml:space="preserve">5.  </w:t>
      </w:r>
      <w:r>
        <w:t>Use independent technical, environmental, financial and legal review; include closure, contamination, commodity and water-risk scenarios.</w:t>
      </w:r>
    </w:p>
    <w:p>
      <w:pPr>
        <w:pStyle w:val="BodyText"/>
        <w:ind w:left="432" w:hanging="317"/>
        <w:keepLines w:val="1"/>
      </w:pPr>
      <w:r>
        <w:rPr>
          <w:b/>
        </w:rPr>
        <w:t xml:space="preserve">6.  </w:t>
      </w:r>
      <w:r>
        <w:t>Keep utility and resource-participation accounts separate, publish obligations and security, and report physical outcomes alongside municipal revenue.</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pPr>
            <w:r>
              <w:rPr>
                <w:b/>
                <w:color w:val="FFFFFF"/>
                <w:sz w:val="16"/>
              </w:rPr>
              <w:t>Connection</w:t>
            </w:r>
          </w:p>
        </w:tc>
        <w:tc>
          <w:tcPr>
            <w:tcW w:type="dxa" w:w="7920"/>
            <w:shd w:fill="244C5A"/>
            <w:tcMar>
              <w:top w:w="58" w:type="dxa"/>
              <w:start w:w="100" w:type="dxa"/>
              <w:bottom w:w="58" w:type="dxa"/>
              <w:end w:w="100" w:type="dxa"/>
            </w:tcMar>
            <w:vAlign w:val="center"/>
          </w:tcPr>
          <w:p>
            <w:pPr>
              <w:spacing w:after="0"/>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Housing</w:t>
            </w:r>
          </w:p>
        </w:tc>
        <w:tc>
          <w:tcPr>
            <w:tcW w:type="dxa" w:w="7920"/>
            <w:shd w:fill="FFFFFF"/>
            <w:tcMar>
              <w:top w:w="42" w:type="dxa"/>
              <w:start w:w="100" w:type="dxa"/>
              <w:bottom w:w="42" w:type="dxa"/>
              <w:end w:w="100" w:type="dxa"/>
            </w:tcMar>
            <w:vAlign w:val="top"/>
          </w:tcPr>
          <w:p>
            <w:pPr>
              <w:spacing w:after="0" w:line="240" w:lineRule="auto"/>
            </w:pPr>
            <w:r>
              <w:rPr>
                <w:sz w:val="15"/>
              </w:rPr>
              <w:t>Servicing capacity, stormwater and source protection determine safe development yield and timing.</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Municipal Grocery</w:t>
            </w:r>
          </w:p>
        </w:tc>
        <w:tc>
          <w:tcPr>
            <w:tcW w:type="dxa" w:w="7920"/>
            <w:shd w:fill="F3F4F4"/>
            <w:tcMar>
              <w:top w:w="42" w:type="dxa"/>
              <w:start w:w="100" w:type="dxa"/>
              <w:bottom w:w="42" w:type="dxa"/>
              <w:end w:w="100" w:type="dxa"/>
            </w:tcMar>
            <w:vAlign w:val="top"/>
          </w:tcPr>
          <w:p>
            <w:pPr>
              <w:spacing w:after="0" w:line="240" w:lineRule="auto"/>
            </w:pPr>
            <w:r>
              <w:rPr>
                <w:sz w:val="15"/>
              </w:rPr>
              <w:t>Agriculture, processing and food facilities depend on water quality, wastewater capacity and resource conditions.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Healthcare</w:t>
            </w:r>
          </w:p>
        </w:tc>
        <w:tc>
          <w:tcPr>
            <w:tcW w:type="dxa" w:w="7920"/>
            <w:shd w:fill="FFFFFF"/>
            <w:tcMar>
              <w:top w:w="42" w:type="dxa"/>
              <w:start w:w="100" w:type="dxa"/>
              <w:bottom w:w="42" w:type="dxa"/>
              <w:end w:w="100" w:type="dxa"/>
            </w:tcMar>
            <w:vAlign w:val="top"/>
          </w:tcPr>
          <w:p>
            <w:pPr>
              <w:spacing w:after="0" w:line="240" w:lineRule="auto"/>
            </w:pPr>
            <w:r>
              <w:rPr>
                <w:sz w:val="15"/>
              </w:rPr>
              <w:t>Safe water and sanitation are core public-health conditions; healthcare facilities are critical water customers.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Transportation and Fuel</w:t>
            </w:r>
          </w:p>
        </w:tc>
        <w:tc>
          <w:tcPr>
            <w:tcW w:type="dxa" w:w="7920"/>
            <w:shd w:fill="F3F4F4"/>
            <w:tcMar>
              <w:top w:w="42" w:type="dxa"/>
              <w:start w:w="100" w:type="dxa"/>
              <w:bottom w:w="42" w:type="dxa"/>
              <w:end w:w="100" w:type="dxa"/>
            </w:tcMar>
            <w:vAlign w:val="top"/>
          </w:tcPr>
          <w:p>
            <w:pPr>
              <w:spacing w:after="0" w:line="240" w:lineRule="auto"/>
            </w:pPr>
            <w:r>
              <w:rPr>
                <w:sz w:val="15"/>
              </w:rPr>
              <w:t>Resource activity affects roads, freight, fleet and fuel demand; agreements should assign maintenance and risk.</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Workforce &amp; Skills</w:t>
            </w:r>
          </w:p>
        </w:tc>
        <w:tc>
          <w:tcPr>
            <w:tcW w:type="dxa" w:w="7920"/>
            <w:shd w:fill="FFFFFF"/>
            <w:tcMar>
              <w:top w:w="42" w:type="dxa"/>
              <w:start w:w="100" w:type="dxa"/>
              <w:bottom w:w="42" w:type="dxa"/>
              <w:end w:w="100" w:type="dxa"/>
            </w:tcMar>
            <w:vAlign w:val="top"/>
          </w:tcPr>
          <w:p>
            <w:pPr>
              <w:spacing w:after="0" w:line="240" w:lineRule="auto"/>
            </w:pPr>
            <w:r>
              <w:rPr>
                <w:sz w:val="15"/>
              </w:rPr>
              <w:t>Water operators, engineers, environmental specialists and resource trades require licensed and safety-critical skills.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Energy</w:t>
            </w:r>
          </w:p>
        </w:tc>
        <w:tc>
          <w:tcPr>
            <w:tcW w:type="dxa" w:w="7920"/>
            <w:shd w:fill="F3F4F4"/>
            <w:tcMar>
              <w:top w:w="42" w:type="dxa"/>
              <w:start w:w="100" w:type="dxa"/>
              <w:bottom w:w="42" w:type="dxa"/>
              <w:end w:w="100" w:type="dxa"/>
            </w:tcMar>
            <w:vAlign w:val="top"/>
          </w:tcPr>
          <w:p>
            <w:pPr>
              <w:spacing w:after="0" w:line="240" w:lineRule="auto"/>
            </w:pPr>
            <w:r>
              <w:rPr>
                <w:sz w:val="15"/>
              </w:rPr>
              <w:t>Projects may share land, water and infrastructure, but energy assets and performance remain separately governed.</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Digital &amp; Communications</w:t>
            </w:r>
          </w:p>
        </w:tc>
        <w:tc>
          <w:tcPr>
            <w:tcW w:type="dxa" w:w="7920"/>
            <w:shd w:fill="FFFFFF"/>
            <w:tcMar>
              <w:top w:w="42" w:type="dxa"/>
              <w:start w:w="100" w:type="dxa"/>
              <w:bottom w:w="42" w:type="dxa"/>
              <w:end w:w="100" w:type="dxa"/>
            </w:tcMar>
            <w:vAlign w:val="top"/>
          </w:tcPr>
          <w:p>
            <w:pPr>
              <w:spacing w:after="0" w:line="240" w:lineRule="auto"/>
            </w:pPr>
            <w:r>
              <w:rPr>
                <w:sz w:val="15"/>
              </w:rPr>
              <w:t>Remote monitoring, metering, emergency alerts and resource operations need resilient communications and cyber controls.</w:t>
            </w:r>
          </w:p>
        </w:tc>
      </w:tr>
    </w:tbl>
    <w:p>
      <w:pPr>
        <w:spacing w:after="0" w:line="40" w:lineRule="exact"/>
      </w:pPr>
      <w:r>
        <w:rPr>
          <w:sz w:val="2"/>
        </w:rPr>
        <w:t xml:space="preserve"> </w:t>
      </w:r>
    </w:p>
    <w:p>
      <w:pPr>
        <w:pStyle w:val="Heading1"/>
        <w:keepNext w:val="1"/>
        <w:keepLines w:val="1"/>
      </w:pPr>
      <w:r>
        <w:t>Responsibilities and rights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76"/>
            <w:shd w:fill="244C5A"/>
            <w:tcMar>
              <w:top w:w="58" w:type="dxa"/>
              <w:start w:w="100" w:type="dxa"/>
              <w:bottom w:w="58" w:type="dxa"/>
              <w:end w:w="100" w:type="dxa"/>
            </w:tcMar>
            <w:vAlign w:val="center"/>
          </w:tcPr>
          <w:p>
            <w:pPr>
              <w:spacing w:after="0"/>
              <w:keepNext w:val="1"/>
            </w:pPr>
            <w:r>
              <w:rPr>
                <w:b/>
                <w:color w:val="FFFFFF"/>
                <w:sz w:val="16"/>
              </w:rPr>
              <w:t>Actor</w:t>
            </w:r>
          </w:p>
        </w:tc>
        <w:tc>
          <w:tcPr>
            <w:tcW w:type="dxa" w:w="8064"/>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064"/>
            <w:shd w:fill="FFFFFF"/>
            <w:tcMar>
              <w:top w:w="42" w:type="dxa"/>
              <w:start w:w="100" w:type="dxa"/>
              <w:bottom w:w="42" w:type="dxa"/>
              <w:end w:w="100" w:type="dxa"/>
            </w:tcMar>
            <w:vAlign w:val="top"/>
          </w:tcPr>
          <w:p>
            <w:pPr>
              <w:spacing w:after="0" w:line="240" w:lineRule="auto"/>
              <w:keepNext w:val="1"/>
            </w:pPr>
            <w:r>
              <w:rPr>
                <w:sz w:val="15"/>
              </w:rPr>
              <w:t>Municipal water and drainage responsibilities where assigned, land-use and infrastructure decisions, utility governance, local agreements and transparent financial exposure.</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064"/>
            <w:shd w:fill="F3F4F4"/>
            <w:tcMar>
              <w:top w:w="42" w:type="dxa"/>
              <w:start w:w="100" w:type="dxa"/>
              <w:bottom w:w="42" w:type="dxa"/>
              <w:end w:w="100" w:type="dxa"/>
            </w:tcMar>
            <w:vAlign w:val="top"/>
          </w:tcPr>
          <w:p>
            <w:pPr>
              <w:spacing w:after="0" w:line="240" w:lineRule="auto"/>
              <w:keepNext w:val="1"/>
            </w:pPr>
            <w:r>
              <w:rPr>
                <w:sz w:val="15"/>
              </w:rPr>
              <w:t>Municipal powers, natural resources, Crown land, water allocation, environment, utilities and related approvals and royalties within jurisdiction.</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Federal government</w:t>
            </w:r>
          </w:p>
        </w:tc>
        <w:tc>
          <w:tcPr>
            <w:tcW w:type="dxa" w:w="8064"/>
            <w:shd w:fill="FFFFFF"/>
            <w:tcMar>
              <w:top w:w="42" w:type="dxa"/>
              <w:start w:w="100" w:type="dxa"/>
              <w:bottom w:w="42" w:type="dxa"/>
              <w:end w:w="100" w:type="dxa"/>
            </w:tcMar>
            <w:vAlign w:val="top"/>
          </w:tcPr>
          <w:p>
            <w:pPr>
              <w:spacing w:after="0" w:line="240" w:lineRule="auto"/>
              <w:keepNext w:val="1"/>
            </w:pPr>
            <w:r>
              <w:rPr>
                <w:sz w:val="15"/>
              </w:rPr>
              <w:t>Fisheries, navigation, federal lands, toxic substances, impact assessment and other federal responsibilities where triggered.</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Indigenous rights holders</w:t>
            </w:r>
          </w:p>
        </w:tc>
        <w:tc>
          <w:tcPr>
            <w:tcW w:type="dxa" w:w="8064"/>
            <w:shd w:fill="F3F4F4"/>
            <w:tcMar>
              <w:top w:w="42" w:type="dxa"/>
              <w:start w:w="100" w:type="dxa"/>
              <w:bottom w:w="42" w:type="dxa"/>
              <w:end w:w="100" w:type="dxa"/>
            </w:tcMar>
            <w:vAlign w:val="top"/>
          </w:tcPr>
          <w:p>
            <w:pPr>
              <w:spacing w:after="0" w:line="240" w:lineRule="auto"/>
              <w:keepNext w:val="1"/>
            </w:pPr>
            <w:r>
              <w:rPr>
                <w:sz w:val="15"/>
              </w:rPr>
              <w:t>Rights, title and treaty interests; participation is rights-based, not merely stakeholder consultation.</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pPr>
            <w:r>
              <w:rPr>
                <w:b/>
                <w:color w:val="2D3436"/>
                <w:sz w:val="15"/>
              </w:rPr>
              <w:t>Proponents and property owners</w:t>
            </w:r>
          </w:p>
        </w:tc>
        <w:tc>
          <w:tcPr>
            <w:tcW w:type="dxa" w:w="8064"/>
            <w:shd w:fill="FFFFFF"/>
            <w:tcMar>
              <w:top w:w="42" w:type="dxa"/>
              <w:start w:w="100" w:type="dxa"/>
              <w:bottom w:w="42" w:type="dxa"/>
              <w:end w:w="100" w:type="dxa"/>
            </w:tcMar>
            <w:vAlign w:val="top"/>
          </w:tcPr>
          <w:p>
            <w:pPr>
              <w:spacing w:after="0" w:line="240" w:lineRule="auto"/>
            </w:pPr>
            <w:r>
              <w:rPr>
                <w:sz w:val="15"/>
              </w:rPr>
              <w:t>Compliance, mitigation, monitoring, security, site access and negotiated agreements; private property is affected only through lawful process.</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944"/>
            <w:shd w:fill="244C5A"/>
            <w:tcMar>
              <w:top w:w="58" w:type="dxa"/>
              <w:start w:w="100" w:type="dxa"/>
              <w:bottom w:w="58" w:type="dxa"/>
              <w:end w:w="100" w:type="dxa"/>
            </w:tcMar>
            <w:vAlign w:val="center"/>
          </w:tcPr>
          <w:p>
            <w:pPr>
              <w:spacing w:after="0"/>
              <w:keepNext w:val="1"/>
            </w:pPr>
            <w:r>
              <w:rPr>
                <w:b/>
                <w:color w:val="FFFFFF"/>
                <w:sz w:val="16"/>
              </w:rPr>
              <w:t>Gate</w:t>
            </w:r>
          </w:p>
        </w:tc>
        <w:tc>
          <w:tcPr>
            <w:tcW w:type="dxa" w:w="8496"/>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944"/>
            <w:shd w:fill="FFFFFF"/>
            <w:tcMar>
              <w:top w:w="42" w:type="dxa"/>
              <w:start w:w="100" w:type="dxa"/>
              <w:bottom w:w="42" w:type="dxa"/>
              <w:end w:w="100" w:type="dxa"/>
            </w:tcMar>
            <w:vAlign w:val="top"/>
          </w:tcPr>
          <w:p>
            <w:pPr>
              <w:spacing w:after="0" w:line="240" w:lineRule="auto"/>
              <w:keepNext w:val="1"/>
            </w:pPr>
            <w:r>
              <w:rPr>
                <w:b/>
                <w:color w:val="2D3436"/>
                <w:sz w:val="15"/>
              </w:rPr>
              <w:t>Capacity and condition</w:t>
            </w:r>
          </w:p>
        </w:tc>
        <w:tc>
          <w:tcPr>
            <w:tcW w:type="dxa" w:w="8496"/>
            <w:shd w:fill="FFFFFF"/>
            <w:tcMar>
              <w:top w:w="42" w:type="dxa"/>
              <w:start w:w="100" w:type="dxa"/>
              <w:bottom w:w="42" w:type="dxa"/>
              <w:end w:w="100" w:type="dxa"/>
            </w:tcMar>
            <w:vAlign w:val="top"/>
          </w:tcPr>
          <w:p>
            <w:pPr>
              <w:spacing w:after="0" w:line="240" w:lineRule="auto"/>
              <w:keepNext w:val="1"/>
            </w:pPr>
            <w:r>
              <w:rPr>
                <w:sz w:val="15"/>
              </w:rPr>
              <w:t>Can existing water, wastewater and stormwater systems safely support current and proposed demand?</w:t>
            </w:r>
          </w:p>
        </w:tc>
      </w:tr>
      <w:tr>
        <w:trPr>
          <w:cantSplit w:val="true"/>
          <w:trHeight w:hRule="atLeast"/>
        </w:trPr>
        <w:tc>
          <w:tcPr>
            <w:tcW w:type="dxa" w:w="1944"/>
            <w:shd w:fill="F3F4F4"/>
            <w:tcMar>
              <w:top w:w="42" w:type="dxa"/>
              <w:start w:w="100" w:type="dxa"/>
              <w:bottom w:w="42" w:type="dxa"/>
              <w:end w:w="100" w:type="dxa"/>
            </w:tcMar>
            <w:vAlign w:val="top"/>
          </w:tcPr>
          <w:p>
            <w:pPr>
              <w:spacing w:after="0" w:line="240" w:lineRule="auto"/>
              <w:keepNext w:val="1"/>
            </w:pPr>
            <w:r>
              <w:rPr>
                <w:b/>
                <w:color w:val="2D3436"/>
                <w:sz w:val="15"/>
              </w:rPr>
              <w:t>Rights and authority</w:t>
            </w:r>
          </w:p>
        </w:tc>
        <w:tc>
          <w:tcPr>
            <w:tcW w:type="dxa" w:w="8496"/>
            <w:shd w:fill="F3F4F4"/>
            <w:tcMar>
              <w:top w:w="42" w:type="dxa"/>
              <w:start w:w="100" w:type="dxa"/>
              <w:bottom w:w="42" w:type="dxa"/>
              <w:end w:w="100" w:type="dxa"/>
            </w:tcMar>
            <w:vAlign w:val="top"/>
          </w:tcPr>
          <w:p>
            <w:pPr>
              <w:spacing w:after="0" w:line="240" w:lineRule="auto"/>
              <w:keepNext w:val="1"/>
            </w:pPr>
            <w:r>
              <w:rPr>
                <w:sz w:val="15"/>
              </w:rPr>
              <w:t>Which governments, rights holders, owners and regulators have decision roles, and what approvals or agreements are required?</w:t>
            </w:r>
          </w:p>
        </w:tc>
      </w:tr>
      <w:tr>
        <w:trPr>
          <w:cantSplit w:val="true"/>
          <w:trHeight w:hRule="atLeast"/>
        </w:trPr>
        <w:tc>
          <w:tcPr>
            <w:tcW w:type="dxa" w:w="1944"/>
            <w:shd w:fill="FFFFFF"/>
            <w:tcMar>
              <w:top w:w="42" w:type="dxa"/>
              <w:start w:w="100" w:type="dxa"/>
              <w:bottom w:w="42" w:type="dxa"/>
              <w:end w:w="100" w:type="dxa"/>
            </w:tcMar>
            <w:vAlign w:val="top"/>
          </w:tcPr>
          <w:p>
            <w:pPr>
              <w:spacing w:after="0" w:line="240" w:lineRule="auto"/>
              <w:keepNext w:val="1"/>
            </w:pPr>
            <w:r>
              <w:rPr>
                <w:b/>
                <w:color w:val="2D3436"/>
                <w:sz w:val="15"/>
              </w:rPr>
              <w:t>Public value</w:t>
            </w:r>
          </w:p>
        </w:tc>
        <w:tc>
          <w:tcPr>
            <w:tcW w:type="dxa" w:w="8496"/>
            <w:shd w:fill="FFFFFF"/>
            <w:tcMar>
              <w:top w:w="42" w:type="dxa"/>
              <w:start w:w="100" w:type="dxa"/>
              <w:bottom w:w="42" w:type="dxa"/>
              <w:end w:w="100" w:type="dxa"/>
            </w:tcMar>
            <w:vAlign w:val="top"/>
          </w:tcPr>
          <w:p>
            <w:pPr>
              <w:spacing w:after="0" w:line="240" w:lineRule="auto"/>
              <w:keepNext w:val="1"/>
            </w:pPr>
            <w:r>
              <w:rPr>
                <w:sz w:val="15"/>
              </w:rPr>
              <w:t>What municipal problem does participation solve beyond gross revenue or political visibility?</w:t>
            </w:r>
          </w:p>
        </w:tc>
      </w:tr>
      <w:tr>
        <w:trPr>
          <w:cantSplit w:val="true"/>
          <w:trHeight w:hRule="atLeast"/>
        </w:trPr>
        <w:tc>
          <w:tcPr>
            <w:tcW w:type="dxa" w:w="1944"/>
            <w:shd w:fill="F3F4F4"/>
            <w:tcMar>
              <w:top w:w="42" w:type="dxa"/>
              <w:start w:w="100" w:type="dxa"/>
              <w:bottom w:w="42" w:type="dxa"/>
              <w:end w:w="100" w:type="dxa"/>
            </w:tcMar>
            <w:vAlign w:val="top"/>
          </w:tcPr>
          <w:p>
            <w:pPr>
              <w:spacing w:after="0" w:line="240" w:lineRule="auto"/>
              <w:keepNext w:val="1"/>
            </w:pPr>
            <w:r>
              <w:rPr>
                <w:b/>
                <w:color w:val="2D3436"/>
                <w:sz w:val="15"/>
              </w:rPr>
              <w:t>Lifecycle risk</w:t>
            </w:r>
          </w:p>
        </w:tc>
        <w:tc>
          <w:tcPr>
            <w:tcW w:type="dxa" w:w="8496"/>
            <w:shd w:fill="F3F4F4"/>
            <w:tcMar>
              <w:top w:w="42" w:type="dxa"/>
              <w:start w:w="100" w:type="dxa"/>
              <w:bottom w:w="42" w:type="dxa"/>
              <w:end w:w="100" w:type="dxa"/>
            </w:tcMar>
            <w:vAlign w:val="top"/>
          </w:tcPr>
          <w:p>
            <w:pPr>
              <w:spacing w:after="0" w:line="240" w:lineRule="auto"/>
              <w:keepNext w:val="1"/>
            </w:pPr>
            <w:r>
              <w:rPr>
                <w:sz w:val="15"/>
              </w:rPr>
              <w:t>Who funds renewal, closure, remediation and climate adaptation under low/base/high scenarios?</w:t>
            </w:r>
          </w:p>
        </w:tc>
      </w:tr>
      <w:tr>
        <w:trPr>
          <w:cantSplit w:val="true"/>
          <w:trHeight w:hRule="atLeast"/>
        </w:trPr>
        <w:tc>
          <w:tcPr>
            <w:tcW w:type="dxa" w:w="1944"/>
            <w:shd w:fill="FFFFFF"/>
            <w:tcMar>
              <w:top w:w="42" w:type="dxa"/>
              <w:start w:w="100" w:type="dxa"/>
              <w:bottom w:w="42" w:type="dxa"/>
              <w:end w:w="100" w:type="dxa"/>
            </w:tcMar>
            <w:vAlign w:val="top"/>
          </w:tcPr>
          <w:p>
            <w:pPr>
              <w:spacing w:after="0" w:line="240" w:lineRule="auto"/>
              <w:keepNext w:val="1"/>
            </w:pPr>
            <w:r>
              <w:rPr>
                <w:b/>
                <w:color w:val="2D3436"/>
                <w:sz w:val="15"/>
              </w:rPr>
              <w:t>Financial exposure</w:t>
            </w:r>
          </w:p>
        </w:tc>
        <w:tc>
          <w:tcPr>
            <w:tcW w:type="dxa" w:w="8496"/>
            <w:shd w:fill="FFFFFF"/>
            <w:tcMar>
              <w:top w:w="42" w:type="dxa"/>
              <w:start w:w="100" w:type="dxa"/>
              <w:bottom w:w="42" w:type="dxa"/>
              <w:end w:w="100" w:type="dxa"/>
            </w:tcMar>
            <w:vAlign w:val="top"/>
          </w:tcPr>
          <w:p>
            <w:pPr>
              <w:spacing w:after="0" w:line="240" w:lineRule="auto"/>
              <w:keepNext w:val="1"/>
            </w:pPr>
            <w:r>
              <w:rPr>
                <w:sz w:val="15"/>
              </w:rPr>
              <w:t>Is municipal return adequate after capital at risk, guarantees, service costs, volatility and contingent liability?</w:t>
            </w:r>
          </w:p>
        </w:tc>
      </w:tr>
      <w:tr>
        <w:trPr>
          <w:cantSplit w:val="true"/>
          <w:trHeight w:hRule="atLeast"/>
        </w:trPr>
        <w:tc>
          <w:tcPr>
            <w:tcW w:type="dxa" w:w="1944"/>
            <w:shd w:fill="F3F4F4"/>
            <w:tcMar>
              <w:top w:w="42" w:type="dxa"/>
              <w:start w:w="100" w:type="dxa"/>
              <w:bottom w:w="42" w:type="dxa"/>
              <w:end w:w="100" w:type="dxa"/>
            </w:tcMar>
            <w:vAlign w:val="top"/>
          </w:tcPr>
          <w:p>
            <w:pPr>
              <w:spacing w:after="0" w:line="240" w:lineRule="auto"/>
            </w:pPr>
            <w:r>
              <w:rPr>
                <w:b/>
                <w:color w:val="2D3436"/>
                <w:sz w:val="15"/>
              </w:rPr>
              <w:t>Accountability</w:t>
            </w:r>
          </w:p>
        </w:tc>
        <w:tc>
          <w:tcPr>
            <w:tcW w:type="dxa" w:w="8496"/>
            <w:shd w:fill="F3F4F4"/>
            <w:tcMar>
              <w:top w:w="42" w:type="dxa"/>
              <w:start w:w="100" w:type="dxa"/>
              <w:bottom w:w="42" w:type="dxa"/>
              <w:end w:w="100" w:type="dxa"/>
            </w:tcMar>
            <w:vAlign w:val="top"/>
          </w:tcPr>
          <w:p>
            <w:pPr>
              <w:spacing w:after="0" w:line="240" w:lineRule="auto"/>
            </w:pPr>
            <w:r>
              <w:rPr>
                <w:sz w:val="15"/>
              </w:rPr>
              <w:t>Are water-utility funds protected, agreements disclosed to the lawful extent, and independent monitoring in place?</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08"/>
            <w:shd w:fill="244C5A"/>
            <w:tcMar>
              <w:top w:w="58" w:type="dxa"/>
              <w:start w:w="100" w:type="dxa"/>
              <w:bottom w:w="58" w:type="dxa"/>
              <w:end w:w="100" w:type="dxa"/>
            </w:tcMar>
            <w:vAlign w:val="center"/>
          </w:tcPr>
          <w:p>
            <w:pPr>
              <w:spacing w:after="0"/>
            </w:pPr>
            <w:r>
              <w:rPr>
                <w:b/>
                <w:color w:val="FFFFFF"/>
                <w:sz w:val="16"/>
              </w:rPr>
              <w:t>Measure</w:t>
            </w:r>
          </w:p>
        </w:tc>
        <w:tc>
          <w:tcPr>
            <w:tcW w:type="dxa" w:w="7632"/>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Drinking-water compliance</w:t>
            </w:r>
          </w:p>
        </w:tc>
        <w:tc>
          <w:tcPr>
            <w:tcW w:type="dxa" w:w="7632"/>
            <w:shd w:fill="FFFFFF"/>
            <w:tcMar>
              <w:top w:w="42" w:type="dxa"/>
              <w:start w:w="100" w:type="dxa"/>
              <w:bottom w:w="42" w:type="dxa"/>
              <w:end w:w="100" w:type="dxa"/>
            </w:tcMar>
            <w:vAlign w:val="top"/>
          </w:tcPr>
          <w:p>
            <w:pPr>
              <w:spacing w:after="0" w:line="240" w:lineRule="auto"/>
            </w:pPr>
            <w:r>
              <w:rPr>
                <w:sz w:val="15"/>
              </w:rPr>
              <w:t>Required microbiological, chemical and operational results; advisories by cause, population and duration.</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System reliability</w:t>
            </w:r>
          </w:p>
        </w:tc>
        <w:tc>
          <w:tcPr>
            <w:tcW w:type="dxa" w:w="7632"/>
            <w:shd w:fill="F3F4F4"/>
            <w:tcMar>
              <w:top w:w="42" w:type="dxa"/>
              <w:start w:w="100" w:type="dxa"/>
              <w:bottom w:w="42" w:type="dxa"/>
              <w:end w:w="100" w:type="dxa"/>
            </w:tcMar>
            <w:vAlign w:val="top"/>
          </w:tcPr>
          <w:p>
            <w:pPr>
              <w:spacing w:after="0" w:line="240" w:lineRule="auto"/>
            </w:pPr>
            <w:r>
              <w:rPr>
                <w:sz w:val="15"/>
              </w:rPr>
              <w:t>Main breaks per 100 kilometres, unplanned outages, pressure failures and critical-customer continuity.</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Water balance</w:t>
            </w:r>
          </w:p>
        </w:tc>
        <w:tc>
          <w:tcPr>
            <w:tcW w:type="dxa" w:w="7632"/>
            <w:shd w:fill="FFFFFF"/>
            <w:tcMar>
              <w:top w:w="42" w:type="dxa"/>
              <w:start w:w="100" w:type="dxa"/>
              <w:bottom w:w="42" w:type="dxa"/>
              <w:end w:w="100" w:type="dxa"/>
            </w:tcMar>
            <w:vAlign w:val="top"/>
          </w:tcPr>
          <w:p>
            <w:pPr>
              <w:spacing w:after="0" w:line="240" w:lineRule="auto"/>
            </w:pPr>
            <w:r>
              <w:rPr>
                <w:sz w:val="15"/>
              </w:rPr>
              <w:t>Production, authorized consumption and non-revenue water using a consistent system boundary.</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Wastewater and stormwater</w:t>
            </w:r>
          </w:p>
        </w:tc>
        <w:tc>
          <w:tcPr>
            <w:tcW w:type="dxa" w:w="7632"/>
            <w:shd w:fill="F3F4F4"/>
            <w:tcMar>
              <w:top w:w="42" w:type="dxa"/>
              <w:start w:w="100" w:type="dxa"/>
              <w:bottom w:w="42" w:type="dxa"/>
              <w:end w:w="100" w:type="dxa"/>
            </w:tcMar>
            <w:vAlign w:val="top"/>
          </w:tcPr>
          <w:p>
            <w:pPr>
              <w:spacing w:after="0" w:line="240" w:lineRule="auto"/>
            </w:pPr>
            <w:r>
              <w:rPr>
                <w:sz w:val="15"/>
              </w:rPr>
              <w:t>Permit compliance, bypasses and overflows, infiltration, basement or surface flooding and untreated discharge.</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Asset and funding gap</w:t>
            </w:r>
          </w:p>
        </w:tc>
        <w:tc>
          <w:tcPr>
            <w:tcW w:type="dxa" w:w="7632"/>
            <w:shd w:fill="FFFFFF"/>
            <w:tcMar>
              <w:top w:w="42" w:type="dxa"/>
              <w:start w:w="100" w:type="dxa"/>
              <w:bottom w:w="42" w:type="dxa"/>
              <w:end w:w="100" w:type="dxa"/>
            </w:tcMar>
            <w:vAlign w:val="top"/>
          </w:tcPr>
          <w:p>
            <w:pPr>
              <w:spacing w:after="0" w:line="240" w:lineRule="auto"/>
            </w:pPr>
            <w:r>
              <w:rPr>
                <w:sz w:val="15"/>
              </w:rPr>
              <w:t>Condition, remaining life, planned renewal and funded versus required lifecycle expenditure.</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Municipal resource return</w:t>
            </w:r>
          </w:p>
        </w:tc>
        <w:tc>
          <w:tcPr>
            <w:tcW w:type="dxa" w:w="7632"/>
            <w:shd w:fill="F3F4F4"/>
            <w:tcMar>
              <w:top w:w="42" w:type="dxa"/>
              <w:start w:w="100" w:type="dxa"/>
              <w:bottom w:w="42" w:type="dxa"/>
              <w:end w:w="100" w:type="dxa"/>
            </w:tcMar>
            <w:vAlign w:val="top"/>
          </w:tcPr>
          <w:p>
            <w:pPr>
              <w:spacing w:after="0" w:line="240" w:lineRule="auto"/>
            </w:pPr>
            <w:r>
              <w:rPr>
                <w:sz w:val="15"/>
              </w:rPr>
              <w:t>Cash received and service costs avoided minus capital, operating cost, financing, guarantees and provisions; report gross revenue separately.</w:t>
            </w:r>
          </w:p>
        </w:tc>
      </w:tr>
      <w:tr>
        <w:trPr>
          <w:cantSplit w:val="true"/>
          <w:trHeight w:hRule="atLeast"/>
        </w:trPr>
        <w:tc>
          <w:tcPr>
            <w:tcW w:type="dxa" w:w="2808"/>
            <w:shd w:fill="FFFFFF"/>
            <w:tcMar>
              <w:top w:w="42" w:type="dxa"/>
              <w:start w:w="100" w:type="dxa"/>
              <w:bottom w:w="42" w:type="dxa"/>
              <w:end w:w="100" w:type="dxa"/>
            </w:tcMar>
            <w:vAlign w:val="top"/>
          </w:tcPr>
          <w:p>
            <w:pPr>
              <w:spacing w:after="0" w:line="240" w:lineRule="auto"/>
            </w:pPr>
            <w:r>
              <w:rPr>
                <w:b/>
                <w:color w:val="2D3436"/>
                <w:sz w:val="15"/>
              </w:rPr>
              <w:t>Local participation</w:t>
            </w:r>
          </w:p>
        </w:tc>
        <w:tc>
          <w:tcPr>
            <w:tcW w:type="dxa" w:w="7632"/>
            <w:shd w:fill="FFFFFF"/>
            <w:tcMar>
              <w:top w:w="42" w:type="dxa"/>
              <w:start w:w="100" w:type="dxa"/>
              <w:bottom w:w="42" w:type="dxa"/>
              <w:end w:w="100" w:type="dxa"/>
            </w:tcMar>
            <w:vAlign w:val="top"/>
          </w:tcPr>
          <w:p>
            <w:pPr>
              <w:spacing w:after="0" w:line="240" w:lineRule="auto"/>
            </w:pPr>
            <w:r>
              <w:rPr>
                <w:sz w:val="15"/>
              </w:rPr>
              <w:t>Verified local and Indigenous procurement, employment, apprenticeship and business participation with denominators.</w:t>
            </w:r>
          </w:p>
        </w:tc>
      </w:tr>
      <w:tr>
        <w:trPr>
          <w:cantSplit w:val="true"/>
          <w:trHeight w:hRule="atLeast"/>
        </w:trPr>
        <w:tc>
          <w:tcPr>
            <w:tcW w:type="dxa" w:w="2808"/>
            <w:shd w:fill="F3F4F4"/>
            <w:tcMar>
              <w:top w:w="42" w:type="dxa"/>
              <w:start w:w="100" w:type="dxa"/>
              <w:bottom w:w="42" w:type="dxa"/>
              <w:end w:w="100" w:type="dxa"/>
            </w:tcMar>
            <w:vAlign w:val="top"/>
          </w:tcPr>
          <w:p>
            <w:pPr>
              <w:spacing w:after="0" w:line="240" w:lineRule="auto"/>
            </w:pPr>
            <w:r>
              <w:rPr>
                <w:b/>
                <w:color w:val="2D3436"/>
                <w:sz w:val="15"/>
              </w:rPr>
              <w:t>Environmental and closure liability</w:t>
            </w:r>
          </w:p>
        </w:tc>
        <w:tc>
          <w:tcPr>
            <w:tcW w:type="dxa" w:w="7632"/>
            <w:shd w:fill="F3F4F4"/>
            <w:tcMar>
              <w:top w:w="42" w:type="dxa"/>
              <w:start w:w="100" w:type="dxa"/>
              <w:bottom w:w="42" w:type="dxa"/>
              <w:end w:w="100" w:type="dxa"/>
            </w:tcMar>
            <w:vAlign w:val="top"/>
          </w:tcPr>
          <w:p>
            <w:pPr>
              <w:spacing w:after="0" w:line="240" w:lineRule="auto"/>
            </w:pPr>
            <w:r>
              <w:rPr>
                <w:sz w:val="15"/>
              </w:rPr>
              <w:t>Incidents, water withdrawals and discharges, restoration progress, funded security and municipal contingent exposure.</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Health Canada publishes science-based drinking-water guidelines with federal, provincial and territorial collaboration. Provincial authority over natural resources and electricity generation is constitutionally established, subject to other constitutional rights and federal powers.</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System condition and capacity, source risk, compliance, climate projections, resource ownership and rights, project economics, commodity sensitivity, municipal service cost, Indigenous and owner interests, approvals and remediation liability.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Municipal participation could retain more value, improve local procurement or align infrastructure and closure planning. Each outcome is project- and jurisdiction-specific and requires independent modelling and an agreement.</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Resource Development Autonomy does not confer ownership of Crown resources, displace Indigenous rights or Crown duties, override private property or permits, guarantee resource revenue, or permit water-utility funds to absorb unrelated commercial risk.</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keepNext w:val="1"/>
            </w:pPr>
            <w:r>
              <w:rPr>
                <w:b/>
                <w:color w:val="FFFFFF"/>
                <w:sz w:val="16"/>
              </w:rPr>
              <w:t>Risk</w:t>
            </w:r>
          </w:p>
        </w:tc>
        <w:tc>
          <w:tcPr>
            <w:tcW w:type="dxa" w:w="7920"/>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Rights or consultation failure</w:t>
            </w:r>
          </w:p>
        </w:tc>
        <w:tc>
          <w:tcPr>
            <w:tcW w:type="dxa" w:w="7920"/>
            <w:shd w:fill="FFFFFF"/>
            <w:tcMar>
              <w:top w:w="42" w:type="dxa"/>
              <w:start w:w="100" w:type="dxa"/>
              <w:bottom w:w="42" w:type="dxa"/>
              <w:end w:w="100" w:type="dxa"/>
            </w:tcMar>
            <w:vAlign w:val="top"/>
          </w:tcPr>
          <w:p>
            <w:pPr>
              <w:spacing w:after="0" w:line="240" w:lineRule="auto"/>
              <w:keepNext w:val="1"/>
            </w:pPr>
            <w:r>
              <w:rPr>
                <w:sz w:val="15"/>
              </w:rPr>
              <w:t>Early legal mapping and rights-holder engagement; confirm Crown process and do not treat a commercial benefit agreement as a substitute.</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Water-system underinvestment</w:t>
            </w:r>
          </w:p>
        </w:tc>
        <w:tc>
          <w:tcPr>
            <w:tcW w:type="dxa" w:w="7920"/>
            <w:shd w:fill="F3F4F4"/>
            <w:tcMar>
              <w:top w:w="42" w:type="dxa"/>
              <w:start w:w="100" w:type="dxa"/>
              <w:bottom w:w="42" w:type="dxa"/>
              <w:end w:w="100" w:type="dxa"/>
            </w:tcMar>
            <w:vAlign w:val="top"/>
          </w:tcPr>
          <w:p>
            <w:pPr>
              <w:spacing w:after="0" w:line="240" w:lineRule="auto"/>
              <w:keepNext w:val="1"/>
            </w:pPr>
            <w:r>
              <w:rPr>
                <w:sz w:val="15"/>
              </w:rPr>
              <w:t>Ring-fenced utility accounts, risk-based renewal and public asset-condition reporting.</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Commodity loss</w:t>
            </w:r>
          </w:p>
        </w:tc>
        <w:tc>
          <w:tcPr>
            <w:tcW w:type="dxa" w:w="7920"/>
            <w:shd w:fill="FFFFFF"/>
            <w:tcMar>
              <w:top w:w="42" w:type="dxa"/>
              <w:start w:w="100" w:type="dxa"/>
              <w:bottom w:w="42" w:type="dxa"/>
              <w:end w:w="100" w:type="dxa"/>
            </w:tcMar>
            <w:vAlign w:val="top"/>
          </w:tcPr>
          <w:p>
            <w:pPr>
              <w:spacing w:after="0" w:line="240" w:lineRule="auto"/>
              <w:keepNext w:val="1"/>
            </w:pPr>
            <w:r>
              <w:rPr>
                <w:sz w:val="15"/>
              </w:rPr>
              <w:t>Limit municipal capital at risk, stress-test prices and avoid revenue pledges that require optimistic forecasts.</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Environmental or closure liability</w:t>
            </w:r>
          </w:p>
        </w:tc>
        <w:tc>
          <w:tcPr>
            <w:tcW w:type="dxa" w:w="7920"/>
            <w:shd w:fill="F3F4F4"/>
            <w:tcMar>
              <w:top w:w="42" w:type="dxa"/>
              <w:start w:w="100" w:type="dxa"/>
              <w:bottom w:w="42" w:type="dxa"/>
              <w:end w:w="100" w:type="dxa"/>
            </w:tcMar>
            <w:vAlign w:val="top"/>
          </w:tcPr>
          <w:p>
            <w:pPr>
              <w:spacing w:after="0" w:line="240" w:lineRule="auto"/>
              <w:keepNext w:val="1"/>
            </w:pPr>
            <w:r>
              <w:rPr>
                <w:sz w:val="15"/>
              </w:rPr>
              <w:t>Independent assessment, financial security, insurance, monitoring and funded remediation.</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Gross-revenue narrative</w:t>
            </w:r>
          </w:p>
        </w:tc>
        <w:tc>
          <w:tcPr>
            <w:tcW w:type="dxa" w:w="7920"/>
            <w:shd w:fill="FFFFFF"/>
            <w:tcMar>
              <w:top w:w="42" w:type="dxa"/>
              <w:start w:w="100" w:type="dxa"/>
              <w:bottom w:w="42" w:type="dxa"/>
              <w:end w:w="100" w:type="dxa"/>
            </w:tcMar>
            <w:vAlign w:val="top"/>
          </w:tcPr>
          <w:p>
            <w:pPr>
              <w:spacing w:after="0" w:line="240" w:lineRule="auto"/>
            </w:pPr>
            <w:r>
              <w:rPr>
                <w:sz w:val="15"/>
              </w:rPr>
              <w:t>Report net municipal value and contingent exposure, not headline project revenue.</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R1  </w:t>
      </w:r>
      <w:hyperlink r:id="rId28">
        <w:r>
          <w:rPr>
            <w:color w:val="244C5A"/>
            <w:u w:val="single"/>
            <w:rFonts w:ascii="Aptos" w:hAnsi="Aptos"/>
          </w:rPr>
          <w:t>Health Canada Guidelines for Canadian Drinking Water Quality</w:t>
        </w:r>
      </w:hyperlink>
      <w:r>
        <w:t xml:space="preserve"> — Current science-based parameters; provinces and territories implement requirements through their own regimes.</w:t>
      </w:r>
    </w:p>
    <w:p>
      <w:pPr>
        <w:pStyle w:val="Source"/>
      </w:pPr>
      <w:r>
        <w:rPr>
          <w:b/>
        </w:rPr>
        <w:t xml:space="preserve">R2  </w:t>
      </w:r>
      <w:hyperlink r:id="rId11">
        <w:r>
          <w:rPr>
            <w:color w:val="244C5A"/>
            <w:u w:val="single"/>
            <w:rFonts w:ascii="Aptos" w:hAnsi="Aptos"/>
          </w:rPr>
          <w:t>Constitution Act, 1867, sections 35, 92 and 92A</w:t>
        </w:r>
      </w:hyperlink>
      <w:r>
        <w:t xml:space="preserve"> — High-level constitutional foundation; project-specific rights and legal duties require advice.</w:t>
      </w:r>
    </w:p>
    <w:p>
      <w:pPr>
        <w:pStyle w:val="Source"/>
      </w:pPr>
      <w:r>
        <w:rPr>
          <w:b/>
        </w:rPr>
        <w:t xml:space="preserve">R3  </w:t>
      </w:r>
      <w:hyperlink r:id="rId14">
        <w:r>
          <w:rPr>
            <w:color w:val="244C5A"/>
            <w:u w:val="single"/>
            <w:rFonts w:ascii="Aptos" w:hAnsi="Aptos"/>
          </w:rPr>
          <w:t>Canada’s National Infrastructure Assessment</w:t>
        </w:r>
      </w:hyperlink>
      <w:r>
        <w:t xml:space="preserve"> — Connects water and wastewater capacity with housing and community infrastructure.</w:t>
      </w:r>
    </w:p>
    <w:p>
      <w:r>
        <w:br w:type="page"/>
      </w:r>
    </w:p>
    <w:p>
      <w:pPr>
        <w:pStyle w:val="Kicker"/>
        <w:keepNext w:val="1"/>
        <w:keepLines w:val="1"/>
      </w:pPr>
      <w:r>
        <w:t>AUTONOMY 08  |  SUGGESTED SLUG /ENERGY-AUTONOMY</w:t>
      </w:r>
    </w:p>
    <w:p>
      <w:pPr>
        <w:pStyle w:val="TitlePage"/>
        <w:keepNext w:val="1"/>
        <w:keepLines w:val="1"/>
      </w:pPr>
      <w:bookmarkStart w:id="12646" w:name="energy"/>
      <w:bookmarkEnd w:id="12646"/>
      <w:r>
        <w:t>Energy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Energy Autonomy is the municipal capacity to manage demand and, where lawful, procure, generate, store or distribute electricity and thermal energy to improve lifecycle cost, resilience and accountability.</w:t>
            </w:r>
          </w:p>
        </w:tc>
      </w:tr>
    </w:tbl>
    <w:p>
      <w:pPr>
        <w:spacing w:after="0"/>
      </w:pPr>
    </w:p>
    <w:p>
      <w:pPr>
        <w:pStyle w:val="Heading1"/>
        <w:keepNext w:val="1"/>
        <w:keepLines w:val="1"/>
      </w:pPr>
      <w:r>
        <w:t>Why this component exists</w:t>
      </w:r>
    </w:p>
    <w:p>
      <w:pPr>
        <w:pStyle w:val="BodyText"/>
      </w:pPr>
      <w:r>
        <w:t>Energy is an input to every Autonomy and a major source of operating exposure. Municipal buildings, water systems, housing, grocery refrigeration, healthcare facilities, fleets and digital networks create an aggregated load that can support efficiency, procurement or generation options. The strongest first intervention is often demand reduction and operational control rather than immediate construction of new generation.</w:t>
      </w:r>
    </w:p>
    <w:p>
      <w:pPr>
        <w:pStyle w:val="BodyText"/>
      </w:pPr>
      <w:r>
        <w:t>Energy Autonomy does not mean disconnecting from a provincial grid. Electricity markets, utility franchises, interconnection, rate setting and generation approvals vary by province. A municipal utility, corporation or partnership is one possible vehicle. Every project must show total cost—including interconnection, financing, replacement, reserves and decommissioning—rather than comparing a project’s marginal generation cost with a customer’s full retail bill.</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Demand and efficiency</w:t>
            </w:r>
          </w:p>
        </w:tc>
        <w:tc>
          <w:tcPr>
            <w:tcW w:type="dxa" w:w="7560"/>
            <w:shd w:fill="FFFFFF"/>
            <w:tcMar>
              <w:top w:w="68" w:type="dxa"/>
              <w:start w:w="100" w:type="dxa"/>
              <w:bottom w:w="68" w:type="dxa"/>
              <w:end w:w="100" w:type="dxa"/>
            </w:tcMar>
            <w:vAlign w:val="top"/>
          </w:tcPr>
          <w:p>
            <w:pPr>
              <w:spacing w:after="0" w:line="240" w:lineRule="auto"/>
              <w:keepNext w:val="1"/>
            </w:pPr>
            <w:r>
              <w:rPr>
                <w:sz w:val="17"/>
              </w:rPr>
              <w:t>Load measurement, building and process efficiency, controls, conservation, peak management and retrofit portfolios.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Procurement</w:t>
            </w:r>
          </w:p>
        </w:tc>
        <w:tc>
          <w:tcPr>
            <w:tcW w:type="dxa" w:w="7560"/>
            <w:shd w:fill="F3F4F4"/>
            <w:tcMar>
              <w:top w:w="68" w:type="dxa"/>
              <w:start w:w="100" w:type="dxa"/>
              <w:bottom w:w="68" w:type="dxa"/>
              <w:end w:w="100" w:type="dxa"/>
            </w:tcMar>
            <w:vAlign w:val="top"/>
          </w:tcPr>
          <w:p>
            <w:pPr>
              <w:spacing w:after="0" w:line="240" w:lineRule="auto"/>
              <w:keepNext w:val="1"/>
            </w:pPr>
            <w:r>
              <w:rPr>
                <w:sz w:val="17"/>
              </w:rPr>
              <w:t>Aggregated purchasing, power-purchase arrangements and tariff optimization where permitted.</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Supply and storage</w:t>
            </w:r>
          </w:p>
        </w:tc>
        <w:tc>
          <w:tcPr>
            <w:tcW w:type="dxa" w:w="7560"/>
            <w:shd w:fill="FFFFFF"/>
            <w:tcMar>
              <w:top w:w="68" w:type="dxa"/>
              <w:start w:w="100" w:type="dxa"/>
              <w:bottom w:w="68" w:type="dxa"/>
              <w:end w:w="100" w:type="dxa"/>
            </w:tcMar>
            <w:vAlign w:val="top"/>
          </w:tcPr>
          <w:p>
            <w:pPr>
              <w:spacing w:after="0" w:line="240" w:lineRule="auto"/>
              <w:keepNext w:val="1"/>
            </w:pPr>
            <w:r>
              <w:rPr>
                <w:sz w:val="17"/>
              </w:rPr>
              <w:t>Solar, wind, electricity, storage, microgrids, district energy and other locally suitable systems under applicable approvals.</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Resilience</w:t>
            </w:r>
          </w:p>
        </w:tc>
        <w:tc>
          <w:tcPr>
            <w:tcW w:type="dxa" w:w="7560"/>
            <w:shd w:fill="F3F4F4"/>
            <w:tcMar>
              <w:top w:w="68" w:type="dxa"/>
              <w:start w:w="100" w:type="dxa"/>
              <w:bottom w:w="68" w:type="dxa"/>
              <w:end w:w="100" w:type="dxa"/>
            </w:tcMar>
            <w:vAlign w:val="top"/>
          </w:tcPr>
          <w:p>
            <w:pPr>
              <w:spacing w:after="0" w:line="240" w:lineRule="auto"/>
              <w:keepNext w:val="1"/>
            </w:pPr>
            <w:r>
              <w:rPr>
                <w:sz w:val="17"/>
              </w:rPr>
              <w:t>Critical-load definition, backup duration, islanding where permitted, emergency fuel interfaces and restoration plans.</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Delivery vehicles</w:t>
            </w:r>
          </w:p>
        </w:tc>
        <w:tc>
          <w:tcPr>
            <w:tcW w:type="dxa" w:w="7560"/>
            <w:shd w:fill="FFFFFF"/>
            <w:tcMar>
              <w:top w:w="68" w:type="dxa"/>
              <w:start w:w="100" w:type="dxa"/>
              <w:bottom w:w="68" w:type="dxa"/>
              <w:end w:w="100" w:type="dxa"/>
            </w:tcMar>
            <w:vAlign w:val="top"/>
          </w:tcPr>
          <w:p>
            <w:pPr>
              <w:spacing w:after="0" w:line="240" w:lineRule="auto"/>
              <w:keepNext w:val="1"/>
            </w:pPr>
            <w:r>
              <w:rPr>
                <w:sz w:val="17"/>
              </w:rPr>
              <w:t>Municipal department, utility, corporation, Indigenous or community partnership, private contract or regulated arrangement.</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Fuel boundary</w:t>
            </w:r>
          </w:p>
        </w:tc>
        <w:tc>
          <w:tcPr>
            <w:tcW w:type="dxa" w:w="7560"/>
            <w:shd w:fill="F3F4F4"/>
            <w:tcMar>
              <w:top w:w="68" w:type="dxa"/>
              <w:start w:w="100" w:type="dxa"/>
              <w:bottom w:w="68" w:type="dxa"/>
              <w:end w:w="100" w:type="dxa"/>
            </w:tcMar>
            <w:vAlign w:val="top"/>
          </w:tcPr>
          <w:p>
            <w:pPr>
              <w:spacing w:after="0" w:line="240" w:lineRule="auto"/>
            </w:pPr>
            <w:r>
              <w:rPr>
                <w:sz w:val="17"/>
              </w:rPr>
              <w:t>Liquid and gaseous retail fuels are reported under Fuel Autonomy; electricity generation, storage and charging assets remain here.</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Establish interval load, cost, tariff, asset and outage baselines for municipal and prospective community loads.</w:t>
      </w:r>
    </w:p>
    <w:p>
      <w:pPr>
        <w:pStyle w:val="BodyText"/>
        <w:ind w:left="432" w:hanging="317"/>
        <w:keepLines w:val="1"/>
      </w:pPr>
      <w:r>
        <w:rPr>
          <w:b/>
        </w:rPr>
        <w:t xml:space="preserve">2.  </w:t>
      </w:r>
      <w:r>
        <w:t>Reduce avoidable demand first where the lifecycle return and operational risk are superior to new supply.</w:t>
      </w:r>
    </w:p>
    <w:p>
      <w:pPr>
        <w:pStyle w:val="BodyText"/>
        <w:ind w:left="432" w:hanging="317"/>
        <w:keepLines w:val="1"/>
      </w:pPr>
      <w:r>
        <w:rPr>
          <w:b/>
        </w:rPr>
        <w:t xml:space="preserve">3.  </w:t>
      </w:r>
      <w:r>
        <w:t>Screen procurement, generation, storage, district and resilience options against provincial rules, grid constraints and realistic site resources.</w:t>
      </w:r>
    </w:p>
    <w:p>
      <w:pPr>
        <w:pStyle w:val="BodyText"/>
        <w:ind w:left="432" w:hanging="317"/>
        <w:keepLines w:val="1"/>
      </w:pPr>
      <w:r>
        <w:rPr>
          <w:b/>
        </w:rPr>
        <w:t xml:space="preserve">4.  </w:t>
      </w:r>
      <w:r>
        <w:t>Model capital, financing, interconnection, operations, curtailment, degradation, replacement, insurance, decommissioning and public subsidy under low/base/high prices.</w:t>
      </w:r>
    </w:p>
    <w:p>
      <w:pPr>
        <w:pStyle w:val="BodyText"/>
        <w:ind w:left="432" w:hanging="317"/>
        <w:keepLines w:val="1"/>
      </w:pPr>
      <w:r>
        <w:rPr>
          <w:b/>
        </w:rPr>
        <w:t xml:space="preserve">5.  </w:t>
      </w:r>
      <w:r>
        <w:t>Secure permits, interconnection, offtake or rate authority and qualified operations before committing construction capital.</w:t>
      </w:r>
    </w:p>
    <w:p>
      <w:pPr>
        <w:pStyle w:val="BodyText"/>
        <w:ind w:left="432" w:hanging="317"/>
        <w:keepLines w:val="1"/>
      </w:pPr>
      <w:r>
        <w:rPr>
          <w:b/>
        </w:rPr>
        <w:t xml:space="preserve">6.  </w:t>
      </w:r>
      <w:r>
        <w:t>Commission with independent testing; publish cost, production, reliability, subsidy, debt and emissions against the same baseline.</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pPr>
            <w:r>
              <w:rPr>
                <w:b/>
                <w:color w:val="FFFFFF"/>
                <w:sz w:val="16"/>
              </w:rPr>
              <w:t>Connection</w:t>
            </w:r>
          </w:p>
        </w:tc>
        <w:tc>
          <w:tcPr>
            <w:tcW w:type="dxa" w:w="7920"/>
            <w:shd w:fill="244C5A"/>
            <w:tcMar>
              <w:top w:w="58" w:type="dxa"/>
              <w:start w:w="100" w:type="dxa"/>
              <w:bottom w:w="58" w:type="dxa"/>
              <w:end w:w="100" w:type="dxa"/>
            </w:tcMar>
            <w:vAlign w:val="center"/>
          </w:tcPr>
          <w:p>
            <w:pPr>
              <w:spacing w:after="0"/>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Housing</w:t>
            </w:r>
          </w:p>
        </w:tc>
        <w:tc>
          <w:tcPr>
            <w:tcW w:type="dxa" w:w="7920"/>
            <w:shd w:fill="FFFFFF"/>
            <w:tcMar>
              <w:top w:w="42" w:type="dxa"/>
              <w:start w:w="100" w:type="dxa"/>
              <w:bottom w:w="42" w:type="dxa"/>
              <w:end w:w="100" w:type="dxa"/>
            </w:tcMar>
            <w:vAlign w:val="top"/>
          </w:tcPr>
          <w:p>
            <w:pPr>
              <w:spacing w:after="0" w:line="240" w:lineRule="auto"/>
            </w:pPr>
            <w:r>
              <w:rPr>
                <w:sz w:val="15"/>
              </w:rPr>
              <w:t>Efficiency and tariffs affect household operating cost; electrical capacity and construction timing constrain development.</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Municipal Grocery</w:t>
            </w:r>
          </w:p>
        </w:tc>
        <w:tc>
          <w:tcPr>
            <w:tcW w:type="dxa" w:w="7920"/>
            <w:shd w:fill="F3F4F4"/>
            <w:tcMar>
              <w:top w:w="42" w:type="dxa"/>
              <w:start w:w="100" w:type="dxa"/>
              <w:bottom w:w="42" w:type="dxa"/>
              <w:end w:w="100" w:type="dxa"/>
            </w:tcMar>
            <w:vAlign w:val="top"/>
          </w:tcPr>
          <w:p>
            <w:pPr>
              <w:spacing w:after="0" w:line="240" w:lineRule="auto"/>
            </w:pPr>
            <w:r>
              <w:rPr>
                <w:sz w:val="15"/>
              </w:rPr>
              <w:t>Refrigeration and backup power protect inventory and materially affect operating cost.</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Healthcare</w:t>
            </w:r>
          </w:p>
        </w:tc>
        <w:tc>
          <w:tcPr>
            <w:tcW w:type="dxa" w:w="7920"/>
            <w:shd w:fill="FFFFFF"/>
            <w:tcMar>
              <w:top w:w="42" w:type="dxa"/>
              <w:start w:w="100" w:type="dxa"/>
              <w:bottom w:w="42" w:type="dxa"/>
              <w:end w:w="100" w:type="dxa"/>
            </w:tcMar>
            <w:vAlign w:val="top"/>
          </w:tcPr>
          <w:p>
            <w:pPr>
              <w:spacing w:after="0" w:line="240" w:lineRule="auto"/>
            </w:pPr>
            <w:r>
              <w:rPr>
                <w:sz w:val="15"/>
              </w:rPr>
              <w:t>Critical facilities require specified backup duration, power quality and tested continuity.</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Transportation and Fuel</w:t>
            </w:r>
          </w:p>
        </w:tc>
        <w:tc>
          <w:tcPr>
            <w:tcW w:type="dxa" w:w="7920"/>
            <w:shd w:fill="F3F4F4"/>
            <w:tcMar>
              <w:top w:w="42" w:type="dxa"/>
              <w:start w:w="100" w:type="dxa"/>
              <w:bottom w:w="42" w:type="dxa"/>
              <w:end w:w="100" w:type="dxa"/>
            </w:tcMar>
            <w:vAlign w:val="top"/>
          </w:tcPr>
          <w:p>
            <w:pPr>
              <w:spacing w:after="0" w:line="240" w:lineRule="auto"/>
            </w:pPr>
            <w:r>
              <w:rPr>
                <w:sz w:val="15"/>
              </w:rPr>
              <w:t>Fleet electrification changes load, sites and demand for liquid fuels; transition plans must use one forecast.</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Resource Development</w:t>
            </w:r>
          </w:p>
        </w:tc>
        <w:tc>
          <w:tcPr>
            <w:tcW w:type="dxa" w:w="7920"/>
            <w:shd w:fill="FFFFFF"/>
            <w:tcMar>
              <w:top w:w="42" w:type="dxa"/>
              <w:start w:w="100" w:type="dxa"/>
              <w:bottom w:w="42" w:type="dxa"/>
              <w:end w:w="100" w:type="dxa"/>
            </w:tcMar>
            <w:vAlign w:val="top"/>
          </w:tcPr>
          <w:p>
            <w:pPr>
              <w:spacing w:after="0" w:line="240" w:lineRule="auto"/>
            </w:pPr>
            <w:r>
              <w:rPr>
                <w:sz w:val="15"/>
              </w:rPr>
              <w:t>Land, water and natural-resource impacts are assessed jointly, while energy-asset economics remain separate.</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Workforce &amp; Skills</w:t>
            </w:r>
          </w:p>
        </w:tc>
        <w:tc>
          <w:tcPr>
            <w:tcW w:type="dxa" w:w="7920"/>
            <w:shd w:fill="F3F4F4"/>
            <w:tcMar>
              <w:top w:w="42" w:type="dxa"/>
              <w:start w:w="100" w:type="dxa"/>
              <w:bottom w:w="42" w:type="dxa"/>
              <w:end w:w="100" w:type="dxa"/>
            </w:tcMar>
            <w:vAlign w:val="top"/>
          </w:tcPr>
          <w:p>
            <w:pPr>
              <w:spacing w:after="0" w:line="240" w:lineRule="auto"/>
            </w:pPr>
            <w:r>
              <w:rPr>
                <w:sz w:val="15"/>
              </w:rPr>
              <w:t>Design, electrical, line, controls, operation and maintenance capacity are schedule and reliability constraints.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Digital &amp; Communications</w:t>
            </w:r>
          </w:p>
        </w:tc>
        <w:tc>
          <w:tcPr>
            <w:tcW w:type="dxa" w:w="7920"/>
            <w:shd w:fill="FFFFFF"/>
            <w:tcMar>
              <w:top w:w="42" w:type="dxa"/>
              <w:start w:w="100" w:type="dxa"/>
              <w:bottom w:w="42" w:type="dxa"/>
              <w:end w:w="100" w:type="dxa"/>
            </w:tcMar>
            <w:vAlign w:val="top"/>
          </w:tcPr>
          <w:p>
            <w:pPr>
              <w:spacing w:after="0" w:line="240" w:lineRule="auto"/>
            </w:pPr>
            <w:r>
              <w:rPr>
                <w:sz w:val="15"/>
              </w:rPr>
              <w:t>Smart controls require secure connectivity; energy assets also keep communications operational during outages.</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keepNext w:val="1"/>
            </w:pPr>
            <w:r>
              <w:rPr>
                <w:b/>
                <w:color w:val="FFFFFF"/>
                <w:sz w:val="16"/>
              </w:rPr>
              <w:t>Actor</w:t>
            </w:r>
          </w:p>
        </w:tc>
        <w:tc>
          <w:tcPr>
            <w:tcW w:type="dxa" w:w="7920"/>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7920"/>
            <w:shd w:fill="FFFFFF"/>
            <w:tcMar>
              <w:top w:w="42" w:type="dxa"/>
              <w:start w:w="100" w:type="dxa"/>
              <w:bottom w:w="42" w:type="dxa"/>
              <w:end w:w="100" w:type="dxa"/>
            </w:tcMar>
            <w:vAlign w:val="top"/>
          </w:tcPr>
          <w:p>
            <w:pPr>
              <w:spacing w:after="0" w:line="240" w:lineRule="auto"/>
              <w:keepNext w:val="1"/>
            </w:pPr>
            <w:r>
              <w:rPr>
                <w:sz w:val="15"/>
              </w:rPr>
              <w:t>Load management, municipal assets, lawful procurement or ownership, land-use decisions, governance and transparent financial exposure.</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7920"/>
            <w:shd w:fill="F3F4F4"/>
            <w:tcMar>
              <w:top w:w="42" w:type="dxa"/>
              <w:start w:w="100" w:type="dxa"/>
              <w:bottom w:w="42" w:type="dxa"/>
              <w:end w:w="100" w:type="dxa"/>
            </w:tcMar>
            <w:vAlign w:val="top"/>
          </w:tcPr>
          <w:p>
            <w:pPr>
              <w:spacing w:after="0" w:line="240" w:lineRule="auto"/>
              <w:keepNext w:val="1"/>
            </w:pPr>
            <w:r>
              <w:rPr>
                <w:sz w:val="15"/>
              </w:rPr>
              <w:t>Electricity market and utility law, interconnection, rate regulation, municipal authority, generation and environmental approvals.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keepNext w:val="1"/>
            </w:pPr>
            <w:r>
              <w:rPr>
                <w:b/>
                <w:color w:val="2D3436"/>
                <w:sz w:val="15"/>
              </w:rPr>
              <w:t>Federal government</w:t>
            </w:r>
          </w:p>
        </w:tc>
        <w:tc>
          <w:tcPr>
            <w:tcW w:type="dxa" w:w="7920"/>
            <w:shd w:fill="FFFFFF"/>
            <w:tcMar>
              <w:top w:w="42" w:type="dxa"/>
              <w:start w:w="100" w:type="dxa"/>
              <w:bottom w:w="42" w:type="dxa"/>
              <w:end w:w="100" w:type="dxa"/>
            </w:tcMar>
            <w:vAlign w:val="top"/>
          </w:tcPr>
          <w:p>
            <w:pPr>
              <w:spacing w:after="0" w:line="240" w:lineRule="auto"/>
              <w:keepNext w:val="1"/>
            </w:pPr>
            <w:r>
              <w:rPr>
                <w:sz w:val="15"/>
              </w:rPr>
              <w:t>Federal environmental, tax, competition and funding roles within jurisdiction.</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keepNext w:val="1"/>
            </w:pPr>
            <w:r>
              <w:rPr>
                <w:b/>
                <w:color w:val="2D3436"/>
                <w:sz w:val="15"/>
              </w:rPr>
              <w:t>Utilities and system operators</w:t>
            </w:r>
          </w:p>
        </w:tc>
        <w:tc>
          <w:tcPr>
            <w:tcW w:type="dxa" w:w="7920"/>
            <w:shd w:fill="F3F4F4"/>
            <w:tcMar>
              <w:top w:w="42" w:type="dxa"/>
              <w:start w:w="100" w:type="dxa"/>
              <w:bottom w:w="42" w:type="dxa"/>
              <w:end w:w="100" w:type="dxa"/>
            </w:tcMar>
            <w:vAlign w:val="top"/>
          </w:tcPr>
          <w:p>
            <w:pPr>
              <w:spacing w:after="0" w:line="240" w:lineRule="auto"/>
              <w:keepNext w:val="1"/>
            </w:pPr>
            <w:r>
              <w:rPr>
                <w:sz w:val="15"/>
              </w:rPr>
              <w:t>Interconnection, system planning, metering, tariffs, reliability and operating coordination under the applicable regime.</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Indigenous, community and private partners</w:t>
            </w:r>
          </w:p>
        </w:tc>
        <w:tc>
          <w:tcPr>
            <w:tcW w:type="dxa" w:w="7920"/>
            <w:shd w:fill="FFFFFF"/>
            <w:tcMar>
              <w:top w:w="42" w:type="dxa"/>
              <w:start w:w="100" w:type="dxa"/>
              <w:bottom w:w="42" w:type="dxa"/>
              <w:end w:w="100" w:type="dxa"/>
            </w:tcMar>
            <w:vAlign w:val="top"/>
          </w:tcPr>
          <w:p>
            <w:pPr>
              <w:spacing w:after="0" w:line="240" w:lineRule="auto"/>
            </w:pPr>
            <w:r>
              <w:rPr>
                <w:sz w:val="15"/>
              </w:rPr>
              <w:t>Investment, land and rights agreements, engineering, construction, operations, technology and capital.</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800"/>
            <w:shd w:fill="244C5A"/>
            <w:tcMar>
              <w:top w:w="58" w:type="dxa"/>
              <w:start w:w="100" w:type="dxa"/>
              <w:bottom w:w="58" w:type="dxa"/>
              <w:end w:w="100" w:type="dxa"/>
            </w:tcMar>
            <w:vAlign w:val="center"/>
          </w:tcPr>
          <w:p>
            <w:pPr>
              <w:spacing w:after="0"/>
              <w:keepNext w:val="1"/>
            </w:pPr>
            <w:r>
              <w:rPr>
                <w:b/>
                <w:color w:val="FFFFFF"/>
                <w:sz w:val="16"/>
              </w:rPr>
              <w:t>Gate</w:t>
            </w:r>
          </w:p>
        </w:tc>
        <w:tc>
          <w:tcPr>
            <w:tcW w:type="dxa" w:w="8640"/>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keepNext w:val="1"/>
            </w:pPr>
            <w:r>
              <w:rPr>
                <w:b/>
                <w:color w:val="2D3436"/>
                <w:sz w:val="15"/>
              </w:rPr>
              <w:t>Baseline</w:t>
            </w:r>
          </w:p>
        </w:tc>
        <w:tc>
          <w:tcPr>
            <w:tcW w:type="dxa" w:w="8640"/>
            <w:shd w:fill="FFFFFF"/>
            <w:tcMar>
              <w:top w:w="42" w:type="dxa"/>
              <w:start w:w="100" w:type="dxa"/>
              <w:bottom w:w="42" w:type="dxa"/>
              <w:end w:w="100" w:type="dxa"/>
            </w:tcMar>
            <w:vAlign w:val="top"/>
          </w:tcPr>
          <w:p>
            <w:pPr>
              <w:spacing w:after="0" w:line="240" w:lineRule="auto"/>
              <w:keepNext w:val="1"/>
            </w:pPr>
            <w:r>
              <w:rPr>
                <w:sz w:val="15"/>
              </w:rPr>
              <w:t>Which loads, tariffs, peaks, outages and energy burdens are being addressed?</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keepNext w:val="1"/>
            </w:pPr>
            <w:r>
              <w:rPr>
                <w:b/>
                <w:color w:val="2D3436"/>
                <w:sz w:val="15"/>
              </w:rPr>
              <w:t>Efficiency</w:t>
            </w:r>
          </w:p>
        </w:tc>
        <w:tc>
          <w:tcPr>
            <w:tcW w:type="dxa" w:w="8640"/>
            <w:shd w:fill="F3F4F4"/>
            <w:tcMar>
              <w:top w:w="42" w:type="dxa"/>
              <w:start w:w="100" w:type="dxa"/>
              <w:bottom w:w="42" w:type="dxa"/>
              <w:end w:w="100" w:type="dxa"/>
            </w:tcMar>
            <w:vAlign w:val="top"/>
          </w:tcPr>
          <w:p>
            <w:pPr>
              <w:spacing w:after="0" w:line="240" w:lineRule="auto"/>
              <w:keepNext w:val="1"/>
            </w:pPr>
            <w:r>
              <w:rPr>
                <w:sz w:val="15"/>
              </w:rPr>
              <w:t>Has the lower-risk demand-reduction opportunity been compared with new supply?</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keepNext w:val="1"/>
            </w:pPr>
            <w:r>
              <w:rPr>
                <w:b/>
                <w:color w:val="2D3436"/>
                <w:sz w:val="15"/>
              </w:rPr>
              <w:t>Authority and grid</w:t>
            </w:r>
          </w:p>
        </w:tc>
        <w:tc>
          <w:tcPr>
            <w:tcW w:type="dxa" w:w="8640"/>
            <w:shd w:fill="FFFFFF"/>
            <w:tcMar>
              <w:top w:w="42" w:type="dxa"/>
              <w:start w:w="100" w:type="dxa"/>
              <w:bottom w:w="42" w:type="dxa"/>
              <w:end w:w="100" w:type="dxa"/>
            </w:tcMar>
            <w:vAlign w:val="top"/>
          </w:tcPr>
          <w:p>
            <w:pPr>
              <w:spacing w:after="0" w:line="240" w:lineRule="auto"/>
              <w:keepNext w:val="1"/>
            </w:pPr>
            <w:r>
              <w:rPr>
                <w:sz w:val="15"/>
              </w:rPr>
              <w:t>Are ownership, interconnection, sales, rates and islanding permitted, and is capacity available?</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keepNext w:val="1"/>
            </w:pPr>
            <w:r>
              <w:rPr>
                <w:b/>
                <w:color w:val="2D3436"/>
                <w:sz w:val="15"/>
              </w:rPr>
              <w:t>Resource and site</w:t>
            </w:r>
          </w:p>
        </w:tc>
        <w:tc>
          <w:tcPr>
            <w:tcW w:type="dxa" w:w="8640"/>
            <w:shd w:fill="F3F4F4"/>
            <w:tcMar>
              <w:top w:w="42" w:type="dxa"/>
              <w:start w:w="100" w:type="dxa"/>
              <w:bottom w:w="42" w:type="dxa"/>
              <w:end w:w="100" w:type="dxa"/>
            </w:tcMar>
            <w:vAlign w:val="top"/>
          </w:tcPr>
          <w:p>
            <w:pPr>
              <w:spacing w:after="0" w:line="240" w:lineRule="auto"/>
              <w:keepNext w:val="1"/>
            </w:pPr>
            <w:r>
              <w:rPr>
                <w:sz w:val="15"/>
              </w:rPr>
              <w:t>Are measured solar, wind, thermal or other resources and land conditions adequate?</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keepNext w:val="1"/>
            </w:pPr>
            <w:r>
              <w:rPr>
                <w:b/>
                <w:color w:val="2D3436"/>
                <w:sz w:val="15"/>
              </w:rPr>
              <w:t>Economics</w:t>
            </w:r>
          </w:p>
        </w:tc>
        <w:tc>
          <w:tcPr>
            <w:tcW w:type="dxa" w:w="8640"/>
            <w:shd w:fill="FFFFFF"/>
            <w:tcMar>
              <w:top w:w="42" w:type="dxa"/>
              <w:start w:w="100" w:type="dxa"/>
              <w:bottom w:w="42" w:type="dxa"/>
              <w:end w:w="100" w:type="dxa"/>
            </w:tcMar>
            <w:vAlign w:val="top"/>
          </w:tcPr>
          <w:p>
            <w:pPr>
              <w:spacing w:after="0" w:line="240" w:lineRule="auto"/>
              <w:keepNext w:val="1"/>
            </w:pPr>
            <w:r>
              <w:rPr>
                <w:sz w:val="15"/>
              </w:rPr>
              <w:t>Does total lifecycle cost and resilience value remain defensible across price, production, curtailment and financing scenarios?</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Operations</w:t>
            </w:r>
          </w:p>
        </w:tc>
        <w:tc>
          <w:tcPr>
            <w:tcW w:type="dxa" w:w="8640"/>
            <w:shd w:fill="F3F4F4"/>
            <w:tcMar>
              <w:top w:w="42" w:type="dxa"/>
              <w:start w:w="100" w:type="dxa"/>
              <w:bottom w:w="42" w:type="dxa"/>
              <w:end w:w="100" w:type="dxa"/>
            </w:tcMar>
            <w:vAlign w:val="top"/>
          </w:tcPr>
          <w:p>
            <w:pPr>
              <w:spacing w:after="0" w:line="240" w:lineRule="auto"/>
            </w:pPr>
            <w:r>
              <w:rPr>
                <w:sz w:val="15"/>
              </w:rPr>
              <w:t>Who operates, maintains, secures and replaces the asset, and what decision rule governs expansion?</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664"/>
            <w:shd w:fill="244C5A"/>
            <w:tcMar>
              <w:top w:w="58" w:type="dxa"/>
              <w:start w:w="100" w:type="dxa"/>
              <w:bottom w:w="58" w:type="dxa"/>
              <w:end w:w="100" w:type="dxa"/>
            </w:tcMar>
            <w:vAlign w:val="center"/>
          </w:tcPr>
          <w:p>
            <w:pPr>
              <w:spacing w:after="0"/>
            </w:pPr>
            <w:r>
              <w:rPr>
                <w:b/>
                <w:color w:val="FFFFFF"/>
                <w:sz w:val="16"/>
              </w:rPr>
              <w:t>Measure</w:t>
            </w:r>
          </w:p>
        </w:tc>
        <w:tc>
          <w:tcPr>
            <w:tcW w:type="dxa" w:w="7776"/>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Total energy cost</w:t>
            </w:r>
          </w:p>
        </w:tc>
        <w:tc>
          <w:tcPr>
            <w:tcW w:type="dxa" w:w="7776"/>
            <w:shd w:fill="FFFFFF"/>
            <w:tcMar>
              <w:top w:w="42" w:type="dxa"/>
              <w:start w:w="100" w:type="dxa"/>
              <w:bottom w:w="42" w:type="dxa"/>
              <w:end w:w="100" w:type="dxa"/>
            </w:tcMar>
            <w:vAlign w:val="top"/>
          </w:tcPr>
          <w:p>
            <w:pPr>
              <w:spacing w:after="0" w:line="240" w:lineRule="auto"/>
            </w:pPr>
            <w:r>
              <w:rPr>
                <w:sz w:val="15"/>
              </w:rPr>
              <w:t>All commodity, demand, delivery, tax, capital, finance, operations and reserve costs divided by relevant MWh; compare equivalent system boundaries.</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Energy burden</w:t>
            </w:r>
          </w:p>
        </w:tc>
        <w:tc>
          <w:tcPr>
            <w:tcW w:type="dxa" w:w="7776"/>
            <w:shd w:fill="F3F4F4"/>
            <w:tcMar>
              <w:top w:w="42" w:type="dxa"/>
              <w:start w:w="100" w:type="dxa"/>
              <w:bottom w:w="42" w:type="dxa"/>
              <w:end w:w="100" w:type="dxa"/>
            </w:tcMar>
            <w:vAlign w:val="top"/>
          </w:tcPr>
          <w:p>
            <w:pPr>
              <w:spacing w:after="0" w:line="240" w:lineRule="auto"/>
            </w:pPr>
            <w:r>
              <w:rPr>
                <w:sz w:val="15"/>
              </w:rPr>
              <w:t>Household energy cost as a share of income for the target population where customer data and privacy allow.</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Demand reduction</w:t>
            </w:r>
          </w:p>
        </w:tc>
        <w:tc>
          <w:tcPr>
            <w:tcW w:type="dxa" w:w="7776"/>
            <w:shd w:fill="FFFFFF"/>
            <w:tcMar>
              <w:top w:w="42" w:type="dxa"/>
              <w:start w:w="100" w:type="dxa"/>
              <w:bottom w:w="42" w:type="dxa"/>
              <w:end w:w="100" w:type="dxa"/>
            </w:tcMar>
            <w:vAlign w:val="top"/>
          </w:tcPr>
          <w:p>
            <w:pPr>
              <w:spacing w:after="0" w:line="240" w:lineRule="auto"/>
            </w:pPr>
            <w:r>
              <w:rPr>
                <w:sz w:val="15"/>
              </w:rPr>
              <w:t>Weather- and activity-normalized energy and peak change against a stated baseline.</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Supply performance</w:t>
            </w:r>
          </w:p>
        </w:tc>
        <w:tc>
          <w:tcPr>
            <w:tcW w:type="dxa" w:w="7776"/>
            <w:shd w:fill="F3F4F4"/>
            <w:tcMar>
              <w:top w:w="42" w:type="dxa"/>
              <w:start w:w="100" w:type="dxa"/>
              <w:bottom w:w="42" w:type="dxa"/>
              <w:end w:w="100" w:type="dxa"/>
            </w:tcMar>
            <w:vAlign w:val="top"/>
          </w:tcPr>
          <w:p>
            <w:pPr>
              <w:spacing w:after="0" w:line="240" w:lineRule="auto"/>
            </w:pPr>
            <w:r>
              <w:rPr>
                <w:sz w:val="15"/>
              </w:rPr>
              <w:t>Installed and available capacity, production, capacity factor, curtailment and storage round-trip performance.</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Reliability and resilience</w:t>
            </w:r>
          </w:p>
        </w:tc>
        <w:tc>
          <w:tcPr>
            <w:tcW w:type="dxa" w:w="7776"/>
            <w:shd w:fill="FFFFFF"/>
            <w:tcMar>
              <w:top w:w="42" w:type="dxa"/>
              <w:start w:w="100" w:type="dxa"/>
              <w:bottom w:w="42" w:type="dxa"/>
              <w:end w:w="100" w:type="dxa"/>
            </w:tcMar>
            <w:vAlign w:val="top"/>
          </w:tcPr>
          <w:p>
            <w:pPr>
              <w:spacing w:after="0" w:line="240" w:lineRule="auto"/>
            </w:pPr>
            <w:r>
              <w:rPr>
                <w:sz w:val="15"/>
              </w:rPr>
              <w:t>Outage frequency and duration using utility-standard definitions where possible; hours critical load can be sustained and results of tests.</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Financial performance</w:t>
            </w:r>
          </w:p>
        </w:tc>
        <w:tc>
          <w:tcPr>
            <w:tcW w:type="dxa" w:w="7776"/>
            <w:shd w:fill="F3F4F4"/>
            <w:tcMar>
              <w:top w:w="42" w:type="dxa"/>
              <w:start w:w="100" w:type="dxa"/>
              <w:bottom w:w="42" w:type="dxa"/>
              <w:end w:w="100" w:type="dxa"/>
            </w:tcMar>
            <w:vAlign w:val="top"/>
          </w:tcPr>
          <w:p>
            <w:pPr>
              <w:spacing w:after="0" w:line="240" w:lineRule="auto"/>
            </w:pPr>
            <w:r>
              <w:rPr>
                <w:sz w:val="15"/>
              </w:rPr>
              <w:t>Operating margin, debt-service coverage, reserve contribution and all grants, guarantees or rate subsidy.</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Environmental performance</w:t>
            </w:r>
          </w:p>
        </w:tc>
        <w:tc>
          <w:tcPr>
            <w:tcW w:type="dxa" w:w="7776"/>
            <w:shd w:fill="FFFFFF"/>
            <w:tcMar>
              <w:top w:w="42" w:type="dxa"/>
              <w:start w:w="100" w:type="dxa"/>
              <w:bottom w:w="42" w:type="dxa"/>
              <w:end w:w="100" w:type="dxa"/>
            </w:tcMar>
            <w:vAlign w:val="top"/>
          </w:tcPr>
          <w:p>
            <w:pPr>
              <w:spacing w:after="0" w:line="240" w:lineRule="auto"/>
            </w:pPr>
            <w:r>
              <w:rPr>
                <w:sz w:val="15"/>
              </w:rPr>
              <w:t>Lifecycle or operational emissions using a stated grid factor and boundary; do not treat zero onsite emissions as zero lifecycle impact.</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Customer outcome</w:t>
            </w:r>
          </w:p>
        </w:tc>
        <w:tc>
          <w:tcPr>
            <w:tcW w:type="dxa" w:w="7776"/>
            <w:shd w:fill="F3F4F4"/>
            <w:tcMar>
              <w:top w:w="42" w:type="dxa"/>
              <w:start w:w="100" w:type="dxa"/>
              <w:bottom w:w="42" w:type="dxa"/>
              <w:end w:w="100" w:type="dxa"/>
            </w:tcMar>
            <w:vAlign w:val="top"/>
          </w:tcPr>
          <w:p>
            <w:pPr>
              <w:spacing w:after="0" w:line="240" w:lineRule="auto"/>
            </w:pPr>
            <w:r>
              <w:rPr>
                <w:sz w:val="15"/>
              </w:rPr>
              <w:t>Bill change by customer class, arrears and service complaints; separate tariff change from efficiency or project effect.</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Canadian municipalities and municipally owned utilities already undertake energy efficiency, generation and distribution under provincial regimes. Saint John Energy is a current example of a city-owned utility with an independent board. FCM’s Green Municipal Fund supports municipal energy work.</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Local interval load, tariff, outage history, energy burden, site resource, interconnection, utility rules, capital and operating quotes, financing, partner capability and customer demand.</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Municipal efficiency, procurement, solar, wind, storage or utility projects could lower total cost, create revenue or improve resilience. The result depends on the local regime and must be tested on a full lifecycle basis.</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Energy Autonomy does not promise off-grid independence, universally lower rates, guaranteed project revenue, exemption from provincial regulation or a generation project before demand and interconnection are understood.</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448"/>
            <w:shd w:fill="244C5A"/>
            <w:tcMar>
              <w:top w:w="58" w:type="dxa"/>
              <w:start w:w="100" w:type="dxa"/>
              <w:bottom w:w="58" w:type="dxa"/>
              <w:end w:w="100" w:type="dxa"/>
            </w:tcMar>
            <w:vAlign w:val="center"/>
          </w:tcPr>
          <w:p>
            <w:pPr>
              <w:spacing w:after="0"/>
              <w:keepNext w:val="1"/>
            </w:pPr>
            <w:r>
              <w:rPr>
                <w:b/>
                <w:color w:val="FFFFFF"/>
                <w:sz w:val="16"/>
              </w:rPr>
              <w:t>Risk</w:t>
            </w:r>
          </w:p>
        </w:tc>
        <w:tc>
          <w:tcPr>
            <w:tcW w:type="dxa" w:w="7992"/>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Optimistic production or price</w:t>
            </w:r>
          </w:p>
        </w:tc>
        <w:tc>
          <w:tcPr>
            <w:tcW w:type="dxa" w:w="7992"/>
            <w:shd w:fill="FFFFFF"/>
            <w:tcMar>
              <w:top w:w="42" w:type="dxa"/>
              <w:start w:w="100" w:type="dxa"/>
              <w:bottom w:w="42" w:type="dxa"/>
              <w:end w:w="100" w:type="dxa"/>
            </w:tcMar>
            <w:vAlign w:val="top"/>
          </w:tcPr>
          <w:p>
            <w:pPr>
              <w:spacing w:after="0" w:line="240" w:lineRule="auto"/>
              <w:keepNext w:val="1"/>
            </w:pPr>
            <w:r>
              <w:rPr>
                <w:sz w:val="15"/>
              </w:rPr>
              <w:t>Independent resource study and sensitivity to degradation, curtailment, tariff and market prices.</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Interconnection delay</w:t>
            </w:r>
          </w:p>
        </w:tc>
        <w:tc>
          <w:tcPr>
            <w:tcW w:type="dxa" w:w="7992"/>
            <w:shd w:fill="F3F4F4"/>
            <w:tcMar>
              <w:top w:w="42" w:type="dxa"/>
              <w:start w:w="100" w:type="dxa"/>
              <w:bottom w:w="42" w:type="dxa"/>
              <w:end w:w="100" w:type="dxa"/>
            </w:tcMar>
            <w:vAlign w:val="top"/>
          </w:tcPr>
          <w:p>
            <w:pPr>
              <w:spacing w:after="0" w:line="240" w:lineRule="auto"/>
              <w:keepNext w:val="1"/>
            </w:pPr>
            <w:r>
              <w:rPr>
                <w:sz w:val="15"/>
              </w:rPr>
              <w:t>Written utility study and milestone gate before major equipment commitment.</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Debt or rate exposure</w:t>
            </w:r>
          </w:p>
        </w:tc>
        <w:tc>
          <w:tcPr>
            <w:tcW w:type="dxa" w:w="7992"/>
            <w:shd w:fill="FFFFFF"/>
            <w:tcMar>
              <w:top w:w="42" w:type="dxa"/>
              <w:start w:w="100" w:type="dxa"/>
              <w:bottom w:w="42" w:type="dxa"/>
              <w:end w:w="100" w:type="dxa"/>
            </w:tcMar>
            <w:vAlign w:val="top"/>
          </w:tcPr>
          <w:p>
            <w:pPr>
              <w:spacing w:after="0" w:line="240" w:lineRule="auto"/>
              <w:keepNext w:val="1"/>
            </w:pPr>
            <w:r>
              <w:rPr>
                <w:sz w:val="15"/>
              </w:rPr>
              <w:t>Debt-service threshold, reserve policy, customer-class impact analysis and transparent subsidy.</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Technology and cyber risk</w:t>
            </w:r>
          </w:p>
        </w:tc>
        <w:tc>
          <w:tcPr>
            <w:tcW w:type="dxa" w:w="7992"/>
            <w:shd w:fill="F3F4F4"/>
            <w:tcMar>
              <w:top w:w="42" w:type="dxa"/>
              <w:start w:w="100" w:type="dxa"/>
              <w:bottom w:w="42" w:type="dxa"/>
              <w:end w:w="100" w:type="dxa"/>
            </w:tcMar>
            <w:vAlign w:val="top"/>
          </w:tcPr>
          <w:p>
            <w:pPr>
              <w:spacing w:after="0" w:line="240" w:lineRule="auto"/>
              <w:keepNext w:val="1"/>
            </w:pPr>
            <w:r>
              <w:rPr>
                <w:sz w:val="15"/>
              </w:rPr>
              <w:t>Proven equipment, warranties, spares, security architecture and tested manual operation.</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pPr>
            <w:r>
              <w:rPr>
                <w:b/>
                <w:color w:val="2D3436"/>
                <w:sz w:val="15"/>
              </w:rPr>
              <w:t>Governance conflict</w:t>
            </w:r>
          </w:p>
        </w:tc>
        <w:tc>
          <w:tcPr>
            <w:tcW w:type="dxa" w:w="7992"/>
            <w:shd w:fill="FFFFFF"/>
            <w:tcMar>
              <w:top w:w="42" w:type="dxa"/>
              <w:start w:w="100" w:type="dxa"/>
              <w:bottom w:w="42" w:type="dxa"/>
              <w:end w:w="100" w:type="dxa"/>
            </w:tcMar>
            <w:vAlign w:val="top"/>
          </w:tcPr>
          <w:p>
            <w:pPr>
              <w:spacing w:after="0" w:line="240" w:lineRule="auto"/>
            </w:pPr>
            <w:r>
              <w:rPr>
                <w:sz w:val="15"/>
              </w:rPr>
              <w:t>Arm’s-length technical board or utility governance, conflicts rules and public performance reporting.</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E1  </w:t>
      </w:r>
      <w:hyperlink r:id="rId29">
        <w:r>
          <w:rPr>
            <w:color w:val="244C5A"/>
            <w:u w:val="single"/>
            <w:rFonts w:ascii="Aptos" w:hAnsi="Aptos"/>
          </w:rPr>
          <w:t>Saint John Energy</w:t>
        </w:r>
      </w:hyperlink>
      <w:r>
        <w:t xml:space="preserve"> — Example of a city-owned electricity utility; its context does not establish feasibility elsewhere.</w:t>
      </w:r>
    </w:p>
    <w:p>
      <w:pPr>
        <w:pStyle w:val="Source"/>
      </w:pPr>
      <w:r>
        <w:rPr>
          <w:b/>
        </w:rPr>
        <w:t xml:space="preserve">E2  </w:t>
      </w:r>
      <w:hyperlink r:id="rId30">
        <w:r>
          <w:rPr>
            <w:color w:val="244C5A"/>
            <w:u w:val="single"/>
            <w:rFonts w:ascii="Aptos" w:hAnsi="Aptos"/>
          </w:rPr>
          <w:t>FCM Green Municipal Fund</w:t>
        </w:r>
      </w:hyperlink>
      <w:r>
        <w:t xml:space="preserve"> — Documents municipal support areas including community energy and fleet electrification; current program terms must be checked.</w:t>
      </w:r>
    </w:p>
    <w:p>
      <w:pPr>
        <w:pStyle w:val="Source"/>
      </w:pPr>
      <w:r>
        <w:rPr>
          <w:b/>
        </w:rPr>
        <w:t xml:space="preserve">E3  </w:t>
      </w:r>
      <w:hyperlink r:id="rId11">
        <w:r>
          <w:rPr>
            <w:color w:val="244C5A"/>
            <w:u w:val="single"/>
            <w:rFonts w:ascii="Aptos" w:hAnsi="Aptos"/>
          </w:rPr>
          <w:t>Constitution Act, 1867, section 92A</w:t>
        </w:r>
      </w:hyperlink>
      <w:r>
        <w:t xml:space="preserve"> — Provincial legislative authority over natural resources and electricity generation, subject to the Constitution.</w:t>
      </w:r>
    </w:p>
    <w:p>
      <w:r>
        <w:br w:type="page"/>
      </w:r>
    </w:p>
    <w:p>
      <w:pPr>
        <w:pStyle w:val="Kicker"/>
        <w:keepNext w:val="1"/>
        <w:keepLines w:val="1"/>
      </w:pPr>
      <w:r>
        <w:t>AUTONOMY 09  |  SUGGESTED SLUG /DIGITAL-COMMUNICATIONS-AUTONOMY</w:t>
      </w:r>
    </w:p>
    <w:p>
      <w:pPr>
        <w:pStyle w:val="TitlePage"/>
        <w:keepNext w:val="1"/>
        <w:keepLines w:val="1"/>
      </w:pPr>
      <w:bookmarkStart w:id="186988" w:name="digital"/>
      <w:bookmarkEnd w:id="186988"/>
      <w:r>
        <w:t>Digital &amp; Communications Autonomy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Digital &amp; Communications Autonomy is the municipal capacity to identify connectivity gaps, coordinate rights-of-way and communications infrastructure, and own, procure or partner in broadband and resilient communications where the public value exceeds the lifecycle risk.</w:t>
            </w:r>
          </w:p>
        </w:tc>
      </w:tr>
    </w:tbl>
    <w:p>
      <w:pPr>
        <w:spacing w:after="0"/>
      </w:pPr>
    </w:p>
    <w:p>
      <w:pPr>
        <w:pStyle w:val="Heading1"/>
        <w:keepNext w:val="1"/>
        <w:keepLines w:val="1"/>
      </w:pPr>
      <w:r>
        <w:t>Why this component exists</w:t>
      </w:r>
    </w:p>
    <w:p>
      <w:pPr>
        <w:pStyle w:val="BodyText"/>
      </w:pPr>
      <w:r>
        <w:t>Connectivity is now an operating dependency for public services, employment, education, healthcare, commerce, utilities and emergency response. Municipalities control or coordinate assets that can materially affect deployment cost—roads, conduit opportunities, poles or sites, buildings and local permitting—but telecommunications and spectrum are federally regulated and retail networks can carry substantial commercial and cyber risk.</w:t>
      </w:r>
    </w:p>
    <w:p>
      <w:pPr>
        <w:pStyle w:val="BodyText"/>
      </w:pPr>
      <w:r>
        <w:t>The Autonomy begins with location-level evidence. Advertised availability is not the same as actual speed, latency, reliability, affordability or adoption. Once the gap is defined, the municipality compares dig-once coordination, conduit or dark fibre, anchor tenancy, open-access wholesale, a private build agreement, community access and municipal retail. A municipal internet service provider is the highest-operating-risk option and should not be assumed.</w:t>
      </w:r>
    </w:p>
    <w:p>
      <w:pPr>
        <w:pStyle w:val="Heading1"/>
        <w:keepNext w:val="1"/>
        <w:keepLines w:val="1"/>
      </w:pPr>
      <w:r>
        <w:t>Scope and boundary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880"/>
            <w:shd w:fill="244C5A"/>
            <w:tcMar>
              <w:top w:w="82" w:type="dxa"/>
              <w:start w:w="100" w:type="dxa"/>
              <w:bottom w:w="82" w:type="dxa"/>
              <w:end w:w="100" w:type="dxa"/>
            </w:tcMar>
            <w:vAlign w:val="center"/>
          </w:tcPr>
          <w:p>
            <w:pPr>
              <w:spacing w:after="0"/>
              <w:keepNext w:val="1"/>
            </w:pPr>
            <w:r>
              <w:rPr>
                <w:b/>
                <w:color w:val="FFFFFF"/>
                <w:sz w:val="17"/>
              </w:rPr>
              <w:t>Included</w:t>
            </w:r>
          </w:p>
        </w:tc>
        <w:tc>
          <w:tcPr>
            <w:tcW w:type="dxa" w:w="7560"/>
            <w:shd w:fill="244C5A"/>
            <w:tcMar>
              <w:top w:w="82" w:type="dxa"/>
              <w:start w:w="100" w:type="dxa"/>
              <w:bottom w:w="82" w:type="dxa"/>
              <w:end w:w="100" w:type="dxa"/>
            </w:tcMar>
            <w:vAlign w:val="center"/>
          </w:tcPr>
          <w:p>
            <w:pPr>
              <w:spacing w:after="0"/>
              <w:keepNext w:val="1"/>
            </w:pPr>
            <w:r>
              <w:rPr>
                <w:b/>
                <w:color w:val="FFFFFF"/>
                <w:sz w:val="17"/>
              </w:rPr>
              <w:t>Boundary or exclusion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Infrastructure</w:t>
            </w:r>
          </w:p>
        </w:tc>
        <w:tc>
          <w:tcPr>
            <w:tcW w:type="dxa" w:w="7560"/>
            <w:shd w:fill="FFFFFF"/>
            <w:tcMar>
              <w:top w:w="68" w:type="dxa"/>
              <w:start w:w="100" w:type="dxa"/>
              <w:bottom w:w="68" w:type="dxa"/>
              <w:end w:w="100" w:type="dxa"/>
            </w:tcMar>
            <w:vAlign w:val="top"/>
          </w:tcPr>
          <w:p>
            <w:pPr>
              <w:spacing w:after="0" w:line="240" w:lineRule="auto"/>
              <w:keepNext w:val="1"/>
            </w:pPr>
            <w:r>
              <w:rPr>
                <w:sz w:val="17"/>
              </w:rPr>
              <w:t>Fibre, conduit, dark fibre, backhaul, towers or colocation sites, public buildings and rights-of-way where law and ownership permit.</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Service models</w:t>
            </w:r>
          </w:p>
        </w:tc>
        <w:tc>
          <w:tcPr>
            <w:tcW w:type="dxa" w:w="7560"/>
            <w:shd w:fill="F3F4F4"/>
            <w:tcMar>
              <w:top w:w="68" w:type="dxa"/>
              <w:start w:w="100" w:type="dxa"/>
              <w:bottom w:w="68" w:type="dxa"/>
              <w:end w:w="100" w:type="dxa"/>
            </w:tcMar>
            <w:vAlign w:val="top"/>
          </w:tcPr>
          <w:p>
            <w:pPr>
              <w:spacing w:after="0" w:line="240" w:lineRule="auto"/>
              <w:keepNext w:val="1"/>
            </w:pPr>
            <w:r>
              <w:rPr>
                <w:sz w:val="17"/>
              </w:rPr>
              <w:t>Market-gap agreements, municipal anchor tenancy, open-access wholesale, public Wi-Fi, community access and municipal retail only after a business-case comparison.</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Rural connectivity</w:t>
            </w:r>
          </w:p>
        </w:tc>
        <w:tc>
          <w:tcPr>
            <w:tcW w:type="dxa" w:w="7560"/>
            <w:shd w:fill="FFFFFF"/>
            <w:tcMar>
              <w:top w:w="68" w:type="dxa"/>
              <w:start w:w="100" w:type="dxa"/>
              <w:bottom w:w="68" w:type="dxa"/>
              <w:end w:w="100" w:type="dxa"/>
            </w:tcMar>
            <w:vAlign w:val="top"/>
          </w:tcPr>
          <w:p>
            <w:pPr>
              <w:spacing w:after="0" w:line="240" w:lineRule="auto"/>
              <w:keepNext w:val="1"/>
            </w:pPr>
            <w:r>
              <w:rPr>
                <w:sz w:val="17"/>
              </w:rPr>
              <w:t>Location-level planning for unserved and underserved premises, including difficult backhaul, terrain and density.</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keepNext w:val="1"/>
            </w:pPr>
            <w:r>
              <w:rPr>
                <w:b/>
                <w:color w:val="2D3436"/>
                <w:sz w:val="17"/>
              </w:rPr>
              <w:t>Communications resilience</w:t>
            </w:r>
          </w:p>
        </w:tc>
        <w:tc>
          <w:tcPr>
            <w:tcW w:type="dxa" w:w="7560"/>
            <w:shd w:fill="F3F4F4"/>
            <w:tcMar>
              <w:top w:w="68" w:type="dxa"/>
              <w:start w:w="100" w:type="dxa"/>
              <w:bottom w:w="68" w:type="dxa"/>
              <w:end w:w="100" w:type="dxa"/>
            </w:tcMar>
            <w:vAlign w:val="top"/>
          </w:tcPr>
          <w:p>
            <w:pPr>
              <w:spacing w:after="0" w:line="240" w:lineRule="auto"/>
              <w:keepNext w:val="1"/>
            </w:pPr>
            <w:r>
              <w:rPr>
                <w:sz w:val="17"/>
              </w:rPr>
              <w:t>Emergency communications, backup power, redundant routes, monitoring and restoration standards.</w:t>
            </w:r>
          </w:p>
        </w:tc>
      </w:tr>
      <w:tr>
        <w:trPr>
          <w:cantSplit w:val="true"/>
          <w:trHeight w:hRule="atLeast"/>
        </w:trPr>
        <w:tc>
          <w:tcPr>
            <w:tcW w:type="dxa" w:w="2880"/>
            <w:shd w:fill="FFFFFF"/>
            <w:tcMar>
              <w:top w:w="68" w:type="dxa"/>
              <w:start w:w="100" w:type="dxa"/>
              <w:bottom w:w="68" w:type="dxa"/>
              <w:end w:w="100" w:type="dxa"/>
            </w:tcMar>
            <w:vAlign w:val="top"/>
          </w:tcPr>
          <w:p>
            <w:pPr>
              <w:spacing w:after="0" w:line="240" w:lineRule="auto"/>
              <w:keepNext w:val="1"/>
            </w:pPr>
            <w:r>
              <w:rPr>
                <w:b/>
                <w:color w:val="2D3436"/>
                <w:sz w:val="17"/>
              </w:rPr>
              <w:t>Digital inclusion</w:t>
            </w:r>
          </w:p>
        </w:tc>
        <w:tc>
          <w:tcPr>
            <w:tcW w:type="dxa" w:w="7560"/>
            <w:shd w:fill="FFFFFF"/>
            <w:tcMar>
              <w:top w:w="68" w:type="dxa"/>
              <w:start w:w="100" w:type="dxa"/>
              <w:bottom w:w="68" w:type="dxa"/>
              <w:end w:w="100" w:type="dxa"/>
            </w:tcMar>
            <w:vAlign w:val="top"/>
          </w:tcPr>
          <w:p>
            <w:pPr>
              <w:spacing w:after="0" w:line="240" w:lineRule="auto"/>
              <w:keepNext w:val="1"/>
            </w:pPr>
            <w:r>
              <w:rPr>
                <w:sz w:val="17"/>
              </w:rPr>
              <w:t>Affordability, device, literacy and non-digital service access; building infrastructure alone does not ensure adoption.</w:t>
            </w:r>
          </w:p>
        </w:tc>
      </w:tr>
      <w:tr>
        <w:trPr>
          <w:cantSplit w:val="true"/>
          <w:trHeight w:hRule="atLeast"/>
        </w:trPr>
        <w:tc>
          <w:tcPr>
            <w:tcW w:type="dxa" w:w="2880"/>
            <w:shd w:fill="F3F4F4"/>
            <w:tcMar>
              <w:top w:w="68" w:type="dxa"/>
              <w:start w:w="100" w:type="dxa"/>
              <w:bottom w:w="68" w:type="dxa"/>
              <w:end w:w="100" w:type="dxa"/>
            </w:tcMar>
            <w:vAlign w:val="top"/>
          </w:tcPr>
          <w:p>
            <w:pPr>
              <w:spacing w:after="0" w:line="240" w:lineRule="auto"/>
            </w:pPr>
            <w:r>
              <w:rPr>
                <w:b/>
                <w:color w:val="2D3436"/>
                <w:sz w:val="17"/>
              </w:rPr>
              <w:t>Regulatory boundary</w:t>
            </w:r>
          </w:p>
        </w:tc>
        <w:tc>
          <w:tcPr>
            <w:tcW w:type="dxa" w:w="7560"/>
            <w:shd w:fill="F3F4F4"/>
            <w:tcMar>
              <w:top w:w="68" w:type="dxa"/>
              <w:start w:w="100" w:type="dxa"/>
              <w:bottom w:w="68" w:type="dxa"/>
              <w:end w:w="100" w:type="dxa"/>
            </w:tcMar>
            <w:vAlign w:val="top"/>
          </w:tcPr>
          <w:p>
            <w:pPr>
              <w:spacing w:after="0" w:line="240" w:lineRule="auto"/>
            </w:pPr>
            <w:r>
              <w:rPr>
                <w:sz w:val="17"/>
              </w:rPr>
              <w:t>Spectrum and telecommunications regulation remain federal; privacy, lawful access, competition and provincial municipal law continue to apply.</w:t>
            </w:r>
          </w:p>
        </w:tc>
      </w:tr>
    </w:tbl>
    <w:p>
      <w:pPr>
        <w:spacing w:after="0" w:line="40" w:lineRule="exact"/>
      </w:pPr>
      <w:r>
        <w:rPr>
          <w:sz w:val="2"/>
        </w:rPr>
        <w:t xml:space="preserve"> </w:t>
      </w:r>
    </w:p>
    <w:p>
      <w:pPr>
        <w:pStyle w:val="Heading1"/>
        <w:keepNext w:val="1"/>
        <w:keepLines w:val="1"/>
      </w:pPr>
      <w:r>
        <w:t>Operating logic</w:t>
      </w:r>
    </w:p>
    <w:p>
      <w:pPr>
        <w:pStyle w:val="BodyText"/>
        <w:ind w:left="432" w:hanging="317"/>
        <w:keepLines w:val="1"/>
      </w:pPr>
      <w:r>
        <w:rPr>
          <w:b/>
        </w:rPr>
        <w:t xml:space="preserve">1.  </w:t>
      </w:r>
      <w:r>
        <w:t>Build a premise-level baseline of actual service, price, latency, reliability, adoption and provider claims; protect confidential and personal data.</w:t>
      </w:r>
    </w:p>
    <w:p>
      <w:pPr>
        <w:pStyle w:val="BodyText"/>
        <w:ind w:left="432" w:hanging="317"/>
        <w:keepLines w:val="1"/>
      </w:pPr>
      <w:r>
        <w:rPr>
          <w:b/>
        </w:rPr>
        <w:t xml:space="preserve">2.  </w:t>
      </w:r>
      <w:r>
        <w:t>Map municipal roads, planned excavations, facilities, conduit, fibre, towers, utility assets and anchor demand.</w:t>
      </w:r>
    </w:p>
    <w:p>
      <w:pPr>
        <w:pStyle w:val="BodyText"/>
        <w:ind w:left="432" w:hanging="317"/>
        <w:keepLines w:val="1"/>
      </w:pPr>
      <w:r>
        <w:rPr>
          <w:b/>
        </w:rPr>
        <w:t xml:space="preserve">3.  </w:t>
      </w:r>
      <w:r>
        <w:t>Run an open market sounding and compare coordination, subsidy, procurement, wholesale and retail options, including incumbent expansion risk.</w:t>
      </w:r>
    </w:p>
    <w:p>
      <w:pPr>
        <w:pStyle w:val="BodyText"/>
        <w:ind w:left="432" w:hanging="317"/>
        <w:keepLines w:val="1"/>
      </w:pPr>
      <w:r>
        <w:rPr>
          <w:b/>
        </w:rPr>
        <w:t xml:space="preserve">4.  </w:t>
      </w:r>
      <w:r>
        <w:t>Model construction, make-ready, electronics, staffing, cybersecurity, customer service, billing, upgrades, pole or conduit charges, financing and renewal.</w:t>
      </w:r>
    </w:p>
    <w:p>
      <w:pPr>
        <w:pStyle w:val="BodyText"/>
        <w:ind w:left="432" w:hanging="317"/>
        <w:keepLines w:val="1"/>
      </w:pPr>
      <w:r>
        <w:rPr>
          <w:b/>
        </w:rPr>
        <w:t xml:space="preserve">5.  </w:t>
      </w:r>
      <w:r>
        <w:t>Secure rights, permits, backhaul, service-level commitments and a credible take-rate before major capital; build in phases where uncertainty is high.</w:t>
      </w:r>
    </w:p>
    <w:p>
      <w:pPr>
        <w:pStyle w:val="BodyText"/>
        <w:ind w:left="432" w:hanging="317"/>
        <w:keepLines w:val="1"/>
      </w:pPr>
      <w:r>
        <w:rPr>
          <w:b/>
        </w:rPr>
        <w:t xml:space="preserve">6.  </w:t>
      </w:r>
      <w:r>
        <w:t>Measure actual service and financial performance at the premise and customer level, publish outages and affordability, and update the technology plan.</w:t>
      </w:r>
    </w:p>
    <w:p>
      <w:pPr>
        <w:pStyle w:val="Heading1"/>
        <w:keepNext w:val="1"/>
        <w:keepLines w:val="1"/>
      </w:pPr>
      <w:r>
        <w:t>Connection to the other Autonomies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520"/>
            <w:shd w:fill="244C5A"/>
            <w:tcMar>
              <w:top w:w="58" w:type="dxa"/>
              <w:start w:w="100" w:type="dxa"/>
              <w:bottom w:w="58" w:type="dxa"/>
              <w:end w:w="100" w:type="dxa"/>
            </w:tcMar>
            <w:vAlign w:val="center"/>
          </w:tcPr>
          <w:p>
            <w:pPr>
              <w:spacing w:after="0"/>
            </w:pPr>
            <w:r>
              <w:rPr>
                <w:b/>
                <w:color w:val="FFFFFF"/>
                <w:sz w:val="16"/>
              </w:rPr>
              <w:t>Connection</w:t>
            </w:r>
          </w:p>
        </w:tc>
        <w:tc>
          <w:tcPr>
            <w:tcW w:type="dxa" w:w="7920"/>
            <w:shd w:fill="244C5A"/>
            <w:tcMar>
              <w:top w:w="58" w:type="dxa"/>
              <w:start w:w="100" w:type="dxa"/>
              <w:bottom w:w="58" w:type="dxa"/>
              <w:end w:w="100" w:type="dxa"/>
            </w:tcMar>
            <w:vAlign w:val="center"/>
          </w:tcPr>
          <w:p>
            <w:pPr>
              <w:spacing w:after="0"/>
            </w:pPr>
            <w:r>
              <w:rPr>
                <w:b/>
                <w:color w:val="FFFFFF"/>
                <w:sz w:val="16"/>
              </w:rPr>
              <w:t>Operational dependency</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Housing</w:t>
            </w:r>
          </w:p>
        </w:tc>
        <w:tc>
          <w:tcPr>
            <w:tcW w:type="dxa" w:w="7920"/>
            <w:shd w:fill="FFFFFF"/>
            <w:tcMar>
              <w:top w:w="42" w:type="dxa"/>
              <w:start w:w="100" w:type="dxa"/>
              <w:bottom w:w="42" w:type="dxa"/>
              <w:end w:w="100" w:type="dxa"/>
            </w:tcMar>
            <w:vAlign w:val="top"/>
          </w:tcPr>
          <w:p>
            <w:pPr>
              <w:spacing w:after="0" w:line="240" w:lineRule="auto"/>
            </w:pPr>
            <w:r>
              <w:rPr>
                <w:sz w:val="15"/>
              </w:rPr>
              <w:t>Serviced sites should include communications corridors and affordable connection; digital access affects household participation.</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Municipal Grocery</w:t>
            </w:r>
          </w:p>
        </w:tc>
        <w:tc>
          <w:tcPr>
            <w:tcW w:type="dxa" w:w="7920"/>
            <w:shd w:fill="F3F4F4"/>
            <w:tcMar>
              <w:top w:w="42" w:type="dxa"/>
              <w:start w:w="100" w:type="dxa"/>
              <w:bottom w:w="42" w:type="dxa"/>
              <w:end w:w="100" w:type="dxa"/>
            </w:tcMar>
            <w:vAlign w:val="top"/>
          </w:tcPr>
          <w:p>
            <w:pPr>
              <w:spacing w:after="0" w:line="240" w:lineRule="auto"/>
            </w:pPr>
            <w:r>
              <w:rPr>
                <w:sz w:val="15"/>
              </w:rPr>
              <w:t>Ordering, inventory, payments, traceability and delivery depend on reliable systems.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Fuel and Transportation</w:t>
            </w:r>
          </w:p>
        </w:tc>
        <w:tc>
          <w:tcPr>
            <w:tcW w:type="dxa" w:w="7920"/>
            <w:shd w:fill="FFFFFF"/>
            <w:tcMar>
              <w:top w:w="42" w:type="dxa"/>
              <w:start w:w="100" w:type="dxa"/>
              <w:bottom w:w="42" w:type="dxa"/>
              <w:end w:w="100" w:type="dxa"/>
            </w:tcMar>
            <w:vAlign w:val="top"/>
          </w:tcPr>
          <w:p>
            <w:pPr>
              <w:spacing w:after="0" w:line="240" w:lineRule="auto"/>
            </w:pPr>
            <w:r>
              <w:rPr>
                <w:sz w:val="15"/>
              </w:rPr>
              <w:t>Dispatch, booking, real-time information, payments and fleet management require communications with outage fallback.</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Healthcare</w:t>
            </w:r>
          </w:p>
        </w:tc>
        <w:tc>
          <w:tcPr>
            <w:tcW w:type="dxa" w:w="7920"/>
            <w:shd w:fill="F3F4F4"/>
            <w:tcMar>
              <w:top w:w="42" w:type="dxa"/>
              <w:start w:w="100" w:type="dxa"/>
              <w:bottom w:w="42" w:type="dxa"/>
              <w:end w:w="100" w:type="dxa"/>
            </w:tcMar>
            <w:vAlign w:val="top"/>
          </w:tcPr>
          <w:p>
            <w:pPr>
              <w:spacing w:after="0" w:line="240" w:lineRule="auto"/>
            </w:pPr>
            <w:r>
              <w:rPr>
                <w:sz w:val="15"/>
              </w:rPr>
              <w:t>Virtual care and health systems require secure, private and reliable connectivity; broadband is necessary but does not itself create clinical access.</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Resource Development</w:t>
            </w:r>
          </w:p>
        </w:tc>
        <w:tc>
          <w:tcPr>
            <w:tcW w:type="dxa" w:w="7920"/>
            <w:shd w:fill="FFFFFF"/>
            <w:tcMar>
              <w:top w:w="42" w:type="dxa"/>
              <w:start w:w="100" w:type="dxa"/>
              <w:bottom w:w="42" w:type="dxa"/>
              <w:end w:w="100" w:type="dxa"/>
            </w:tcMar>
            <w:vAlign w:val="top"/>
          </w:tcPr>
          <w:p>
            <w:pPr>
              <w:spacing w:after="0" w:line="240" w:lineRule="auto"/>
            </w:pPr>
            <w:r>
              <w:rPr>
                <w:sz w:val="15"/>
              </w:rPr>
              <w:t>Water and resource systems use telemetry and remote monitoring that must be segmented and secured.</w:t>
            </w:r>
          </w:p>
        </w:tc>
      </w:tr>
      <w:tr>
        <w:trPr>
          <w:cantSplit w:val="true"/>
          <w:trHeight w:hRule="atLeast"/>
        </w:trPr>
        <w:tc>
          <w:tcPr>
            <w:tcW w:type="dxa" w:w="2520"/>
            <w:shd w:fill="F3F4F4"/>
            <w:tcMar>
              <w:top w:w="42" w:type="dxa"/>
              <w:start w:w="100" w:type="dxa"/>
              <w:bottom w:w="42" w:type="dxa"/>
              <w:end w:w="100" w:type="dxa"/>
            </w:tcMar>
            <w:vAlign w:val="top"/>
          </w:tcPr>
          <w:p>
            <w:pPr>
              <w:spacing w:after="0" w:line="240" w:lineRule="auto"/>
            </w:pPr>
            <w:r>
              <w:rPr>
                <w:b/>
                <w:color w:val="2D3436"/>
                <w:sz w:val="15"/>
              </w:rPr>
              <w:t>Energy</w:t>
            </w:r>
          </w:p>
        </w:tc>
        <w:tc>
          <w:tcPr>
            <w:tcW w:type="dxa" w:w="7920"/>
            <w:shd w:fill="F3F4F4"/>
            <w:tcMar>
              <w:top w:w="42" w:type="dxa"/>
              <w:start w:w="100" w:type="dxa"/>
              <w:bottom w:w="42" w:type="dxa"/>
              <w:end w:w="100" w:type="dxa"/>
            </w:tcMar>
            <w:vAlign w:val="top"/>
          </w:tcPr>
          <w:p>
            <w:pPr>
              <w:spacing w:after="0" w:line="240" w:lineRule="auto"/>
            </w:pPr>
            <w:r>
              <w:rPr>
                <w:sz w:val="15"/>
              </w:rPr>
              <w:t>Smart controls and grid assets need communications, while backup energy keeps networks operating.</w:t>
            </w:r>
          </w:p>
        </w:tc>
      </w:tr>
      <w:tr>
        <w:trPr>
          <w:cantSplit w:val="true"/>
          <w:trHeight w:hRule="atLeast"/>
        </w:trPr>
        <w:tc>
          <w:tcPr>
            <w:tcW w:type="dxa" w:w="2520"/>
            <w:shd w:fill="FFFFFF"/>
            <w:tcMar>
              <w:top w:w="42" w:type="dxa"/>
              <w:start w:w="100" w:type="dxa"/>
              <w:bottom w:w="42" w:type="dxa"/>
              <w:end w:w="100" w:type="dxa"/>
            </w:tcMar>
            <w:vAlign w:val="top"/>
          </w:tcPr>
          <w:p>
            <w:pPr>
              <w:spacing w:after="0" w:line="240" w:lineRule="auto"/>
            </w:pPr>
            <w:r>
              <w:rPr>
                <w:b/>
                <w:color w:val="2D3436"/>
                <w:sz w:val="15"/>
              </w:rPr>
              <w:t>Workforce &amp; Skills</w:t>
            </w:r>
          </w:p>
        </w:tc>
        <w:tc>
          <w:tcPr>
            <w:tcW w:type="dxa" w:w="7920"/>
            <w:shd w:fill="FFFFFF"/>
            <w:tcMar>
              <w:top w:w="42" w:type="dxa"/>
              <w:start w:w="100" w:type="dxa"/>
              <w:bottom w:w="42" w:type="dxa"/>
              <w:end w:w="100" w:type="dxa"/>
            </w:tcMar>
            <w:vAlign w:val="top"/>
          </w:tcPr>
          <w:p>
            <w:pPr>
              <w:spacing w:after="0" w:line="240" w:lineRule="auto"/>
            </w:pPr>
            <w:r>
              <w:rPr>
                <w:sz w:val="15"/>
              </w:rPr>
              <w:t>Network construction, operations, customer support and cybersecurity require a continuing skills pipeline.</w:t>
            </w:r>
          </w:p>
        </w:tc>
      </w:tr>
    </w:tbl>
    <w:p>
      <w:pPr>
        <w:spacing w:after="0" w:line="40" w:lineRule="exact"/>
      </w:pPr>
      <w:r>
        <w:rPr>
          <w:sz w:val="2"/>
        </w:rPr>
        <w:t xml:space="preserve"> </w:t>
      </w:r>
    </w:p>
    <w:p>
      <w:pPr>
        <w:pStyle w:val="Heading1"/>
        <w:keepNext w:val="1"/>
        <w:keepLines w:val="1"/>
      </w:pPr>
      <w:r>
        <w:t>Responsibilities and partners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376"/>
            <w:shd w:fill="244C5A"/>
            <w:tcMar>
              <w:top w:w="58" w:type="dxa"/>
              <w:start w:w="100" w:type="dxa"/>
              <w:bottom w:w="58" w:type="dxa"/>
              <w:end w:w="100" w:type="dxa"/>
            </w:tcMar>
            <w:vAlign w:val="center"/>
          </w:tcPr>
          <w:p>
            <w:pPr>
              <w:spacing w:after="0"/>
              <w:keepNext w:val="1"/>
            </w:pPr>
            <w:r>
              <w:rPr>
                <w:b/>
                <w:color w:val="FFFFFF"/>
                <w:sz w:val="16"/>
              </w:rPr>
              <w:t>Actor</w:t>
            </w:r>
          </w:p>
        </w:tc>
        <w:tc>
          <w:tcPr>
            <w:tcW w:type="dxa" w:w="8064"/>
            <w:shd w:fill="244C5A"/>
            <w:tcMar>
              <w:top w:w="58" w:type="dxa"/>
              <w:start w:w="100" w:type="dxa"/>
              <w:bottom w:w="58" w:type="dxa"/>
              <w:end w:w="100" w:type="dxa"/>
            </w:tcMar>
            <w:vAlign w:val="center"/>
          </w:tcPr>
          <w:p>
            <w:pPr>
              <w:spacing w:after="0"/>
              <w:keepNext w:val="1"/>
            </w:pPr>
            <w:r>
              <w:rPr>
                <w:b/>
                <w:color w:val="FFFFFF"/>
                <w:sz w:val="16"/>
              </w:rPr>
              <w:t>Core responsibility</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Municipality</w:t>
            </w:r>
          </w:p>
        </w:tc>
        <w:tc>
          <w:tcPr>
            <w:tcW w:type="dxa" w:w="8064"/>
            <w:shd w:fill="FFFFFF"/>
            <w:tcMar>
              <w:top w:w="42" w:type="dxa"/>
              <w:start w:w="100" w:type="dxa"/>
              <w:bottom w:w="42" w:type="dxa"/>
              <w:end w:w="100" w:type="dxa"/>
            </w:tcMar>
            <w:vAlign w:val="top"/>
          </w:tcPr>
          <w:p>
            <w:pPr>
              <w:spacing w:after="0" w:line="240" w:lineRule="auto"/>
              <w:keepNext w:val="1"/>
            </w:pPr>
            <w:r>
              <w:rPr>
                <w:sz w:val="15"/>
              </w:rPr>
              <w:t>Gap evidence, rights-of-way, dig-once coordination, municipal assets, procurement or lawful ownership, affordability policy and performance oversight.</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Federal authorities</w:t>
            </w:r>
          </w:p>
        </w:tc>
        <w:tc>
          <w:tcPr>
            <w:tcW w:type="dxa" w:w="8064"/>
            <w:shd w:fill="F3F4F4"/>
            <w:tcMar>
              <w:top w:w="42" w:type="dxa"/>
              <w:start w:w="100" w:type="dxa"/>
              <w:bottom w:w="42" w:type="dxa"/>
              <w:end w:w="100" w:type="dxa"/>
            </w:tcMar>
            <w:vAlign w:val="top"/>
          </w:tcPr>
          <w:p>
            <w:pPr>
              <w:spacing w:after="0" w:line="240" w:lineRule="auto"/>
              <w:keepNext w:val="1"/>
            </w:pPr>
            <w:r>
              <w:rPr>
                <w:sz w:val="15"/>
              </w:rPr>
              <w:t>Telecommunications and spectrum policy and regulation, federal broadband programs, competition and privacy roles within jurisdiction.</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keepNext w:val="1"/>
            </w:pPr>
            <w:r>
              <w:rPr>
                <w:b/>
                <w:color w:val="2D3436"/>
                <w:sz w:val="15"/>
              </w:rPr>
              <w:t>Province or territory</w:t>
            </w:r>
          </w:p>
        </w:tc>
        <w:tc>
          <w:tcPr>
            <w:tcW w:type="dxa" w:w="8064"/>
            <w:shd w:fill="FFFFFF"/>
            <w:tcMar>
              <w:top w:w="42" w:type="dxa"/>
              <w:start w:w="100" w:type="dxa"/>
              <w:bottom w:w="42" w:type="dxa"/>
              <w:end w:w="100" w:type="dxa"/>
            </w:tcMar>
            <w:vAlign w:val="top"/>
          </w:tcPr>
          <w:p>
            <w:pPr>
              <w:spacing w:after="0" w:line="240" w:lineRule="auto"/>
              <w:keepNext w:val="1"/>
            </w:pPr>
            <w:r>
              <w:rPr>
                <w:sz w:val="15"/>
              </w:rPr>
              <w:t>Municipal authority, provincial rights-of-way, utilities, privacy and infrastructure or broadband programs within jurisdiction.</w:t>
            </w:r>
          </w:p>
        </w:tc>
      </w:tr>
      <w:tr>
        <w:trPr>
          <w:cantSplit w:val="true"/>
          <w:trHeight w:hRule="atLeast"/>
        </w:trPr>
        <w:tc>
          <w:tcPr>
            <w:tcW w:type="dxa" w:w="2376"/>
            <w:shd w:fill="F3F4F4"/>
            <w:tcMar>
              <w:top w:w="42" w:type="dxa"/>
              <w:start w:w="100" w:type="dxa"/>
              <w:bottom w:w="42" w:type="dxa"/>
              <w:end w:w="100" w:type="dxa"/>
            </w:tcMar>
            <w:vAlign w:val="top"/>
          </w:tcPr>
          <w:p>
            <w:pPr>
              <w:spacing w:after="0" w:line="240" w:lineRule="auto"/>
              <w:keepNext w:val="1"/>
            </w:pPr>
            <w:r>
              <w:rPr>
                <w:b/>
                <w:color w:val="2D3436"/>
                <w:sz w:val="15"/>
              </w:rPr>
              <w:t>Carriers, utilities and contractors</w:t>
            </w:r>
          </w:p>
        </w:tc>
        <w:tc>
          <w:tcPr>
            <w:tcW w:type="dxa" w:w="8064"/>
            <w:shd w:fill="F3F4F4"/>
            <w:tcMar>
              <w:top w:w="42" w:type="dxa"/>
              <w:start w:w="100" w:type="dxa"/>
              <w:bottom w:w="42" w:type="dxa"/>
              <w:end w:w="100" w:type="dxa"/>
            </w:tcMar>
            <w:vAlign w:val="top"/>
          </w:tcPr>
          <w:p>
            <w:pPr>
              <w:spacing w:after="0" w:line="240" w:lineRule="auto"/>
              <w:keepNext w:val="1"/>
            </w:pPr>
            <w:r>
              <w:rPr>
                <w:sz w:val="15"/>
              </w:rPr>
              <w:t>Backhaul, poles and conduit, construction, wholesale or retail service, restoration, customer service and security under measurable terms.</w:t>
            </w:r>
          </w:p>
        </w:tc>
      </w:tr>
      <w:tr>
        <w:trPr>
          <w:cantSplit w:val="true"/>
          <w:trHeight w:hRule="atLeast"/>
        </w:trPr>
        <w:tc>
          <w:tcPr>
            <w:tcW w:type="dxa" w:w="2376"/>
            <w:shd w:fill="FFFFFF"/>
            <w:tcMar>
              <w:top w:w="42" w:type="dxa"/>
              <w:start w:w="100" w:type="dxa"/>
              <w:bottom w:w="42" w:type="dxa"/>
              <w:end w:w="100" w:type="dxa"/>
            </w:tcMar>
            <w:vAlign w:val="top"/>
          </w:tcPr>
          <w:p>
            <w:pPr>
              <w:spacing w:after="0" w:line="240" w:lineRule="auto"/>
            </w:pPr>
            <w:r>
              <w:rPr>
                <w:b/>
                <w:color w:val="2D3436"/>
                <w:sz w:val="15"/>
              </w:rPr>
              <w:t>Residents, businesses and institutions</w:t>
            </w:r>
          </w:p>
        </w:tc>
        <w:tc>
          <w:tcPr>
            <w:tcW w:type="dxa" w:w="8064"/>
            <w:shd w:fill="FFFFFF"/>
            <w:tcMar>
              <w:top w:w="42" w:type="dxa"/>
              <w:start w:w="100" w:type="dxa"/>
              <w:bottom w:w="42" w:type="dxa"/>
              <w:end w:w="100" w:type="dxa"/>
            </w:tcMar>
            <w:vAlign w:val="top"/>
          </w:tcPr>
          <w:p>
            <w:pPr>
              <w:spacing w:after="0" w:line="240" w:lineRule="auto"/>
            </w:pPr>
            <w:r>
              <w:rPr>
                <w:sz w:val="15"/>
              </w:rPr>
              <w:t>Demand and performance evidence, subscriptions or anchor contracts, accessibility and inclusion needs.</w:t>
            </w:r>
          </w:p>
        </w:tc>
      </w:tr>
    </w:tbl>
    <w:p>
      <w:pPr>
        <w:spacing w:after="0" w:line="40" w:lineRule="exact"/>
      </w:pPr>
      <w:r>
        <w:rPr>
          <w:sz w:val="2"/>
        </w:rPr>
        <w:t xml:space="preserve"> </w:t>
      </w:r>
    </w:p>
    <w:p>
      <w:pPr>
        <w:pStyle w:val="Heading1"/>
        <w:keepNext w:val="1"/>
        <w:keepLines w:val="1"/>
      </w:pPr>
      <w:r>
        <w:t>Decision gates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728"/>
            <w:shd w:fill="244C5A"/>
            <w:tcMar>
              <w:top w:w="58" w:type="dxa"/>
              <w:start w:w="100" w:type="dxa"/>
              <w:bottom w:w="58" w:type="dxa"/>
              <w:end w:w="100" w:type="dxa"/>
            </w:tcMar>
            <w:vAlign w:val="center"/>
          </w:tcPr>
          <w:p>
            <w:pPr>
              <w:spacing w:after="0"/>
              <w:keepNext w:val="1"/>
            </w:pPr>
            <w:r>
              <w:rPr>
                <w:b/>
                <w:color w:val="FFFFFF"/>
                <w:sz w:val="16"/>
              </w:rPr>
              <w:t>Gate</w:t>
            </w:r>
          </w:p>
        </w:tc>
        <w:tc>
          <w:tcPr>
            <w:tcW w:type="dxa" w:w="8712"/>
            <w:shd w:fill="244C5A"/>
            <w:tcMar>
              <w:top w:w="58" w:type="dxa"/>
              <w:start w:w="100" w:type="dxa"/>
              <w:bottom w:w="58" w:type="dxa"/>
              <w:end w:w="100" w:type="dxa"/>
            </w:tcMar>
            <w:vAlign w:val="center"/>
          </w:tcPr>
          <w:p>
            <w:pPr>
              <w:spacing w:after="0"/>
              <w:keepNext w:val="1"/>
            </w:pPr>
            <w:r>
              <w:rPr>
                <w:b/>
                <w:color w:val="FFFFFF"/>
                <w:sz w:val="16"/>
              </w:rPr>
              <w:t>Required answer before proceeding</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Gap</w:t>
            </w:r>
          </w:p>
        </w:tc>
        <w:tc>
          <w:tcPr>
            <w:tcW w:type="dxa" w:w="8712"/>
            <w:shd w:fill="FFFFFF"/>
            <w:tcMar>
              <w:top w:w="42" w:type="dxa"/>
              <w:start w:w="100" w:type="dxa"/>
              <w:bottom w:w="42" w:type="dxa"/>
              <w:end w:w="100" w:type="dxa"/>
            </w:tcMar>
            <w:vAlign w:val="top"/>
          </w:tcPr>
          <w:p>
            <w:pPr>
              <w:spacing w:after="0" w:line="240" w:lineRule="auto"/>
              <w:keepNext w:val="1"/>
            </w:pPr>
            <w:r>
              <w:rPr>
                <w:sz w:val="15"/>
              </w:rPr>
              <w:t>Which premises lack the defined actual service or affordability standard after planned private and public builds?</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Asset leverage</w:t>
            </w:r>
          </w:p>
        </w:tc>
        <w:tc>
          <w:tcPr>
            <w:tcW w:type="dxa" w:w="8712"/>
            <w:shd w:fill="F3F4F4"/>
            <w:tcMar>
              <w:top w:w="42" w:type="dxa"/>
              <w:start w:w="100" w:type="dxa"/>
              <w:bottom w:w="42" w:type="dxa"/>
              <w:end w:w="100" w:type="dxa"/>
            </w:tcMar>
            <w:vAlign w:val="top"/>
          </w:tcPr>
          <w:p>
            <w:pPr>
              <w:spacing w:after="0" w:line="240" w:lineRule="auto"/>
              <w:keepNext w:val="1"/>
            </w:pPr>
            <w:r>
              <w:rPr>
                <w:sz w:val="15"/>
              </w:rPr>
              <w:t>Can dig-once, conduit, sites or anchor demand lower cost without creating a retail operator?</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Model</w:t>
            </w:r>
          </w:p>
        </w:tc>
        <w:tc>
          <w:tcPr>
            <w:tcW w:type="dxa" w:w="8712"/>
            <w:shd w:fill="FFFFFF"/>
            <w:tcMar>
              <w:top w:w="42" w:type="dxa"/>
              <w:start w:w="100" w:type="dxa"/>
              <w:bottom w:w="42" w:type="dxa"/>
              <w:end w:w="100" w:type="dxa"/>
            </w:tcMar>
            <w:vAlign w:val="top"/>
          </w:tcPr>
          <w:p>
            <w:pPr>
              <w:spacing w:after="0" w:line="240" w:lineRule="auto"/>
              <w:keepNext w:val="1"/>
            </w:pPr>
            <w:r>
              <w:rPr>
                <w:sz w:val="15"/>
              </w:rPr>
              <w:t>Which ownership and operating option offers the best public value after take-rate, upgrade and incumbent-response sensitivity?</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keepNext w:val="1"/>
            </w:pPr>
            <w:r>
              <w:rPr>
                <w:b/>
                <w:color w:val="2D3436"/>
                <w:sz w:val="15"/>
              </w:rPr>
              <w:t>Authority</w:t>
            </w:r>
          </w:p>
        </w:tc>
        <w:tc>
          <w:tcPr>
            <w:tcW w:type="dxa" w:w="8712"/>
            <w:shd w:fill="F3F4F4"/>
            <w:tcMar>
              <w:top w:w="42" w:type="dxa"/>
              <w:start w:w="100" w:type="dxa"/>
              <w:bottom w:w="42" w:type="dxa"/>
              <w:end w:w="100" w:type="dxa"/>
            </w:tcMar>
            <w:vAlign w:val="top"/>
          </w:tcPr>
          <w:p>
            <w:pPr>
              <w:spacing w:after="0" w:line="240" w:lineRule="auto"/>
              <w:keepNext w:val="1"/>
            </w:pPr>
            <w:r>
              <w:rPr>
                <w:sz w:val="15"/>
              </w:rPr>
              <w:t>Are rights-of-way, pole, spectrum, telecom, privacy and municipal ownership requirements satisfied?</w:t>
            </w:r>
          </w:p>
        </w:tc>
      </w:tr>
      <w:tr>
        <w:trPr>
          <w:cantSplit w:val="true"/>
          <w:trHeight w:hRule="atLeast"/>
        </w:trPr>
        <w:tc>
          <w:tcPr>
            <w:tcW w:type="dxa" w:w="1728"/>
            <w:shd w:fill="FFFFFF"/>
            <w:tcMar>
              <w:top w:w="42" w:type="dxa"/>
              <w:start w:w="100" w:type="dxa"/>
              <w:bottom w:w="42" w:type="dxa"/>
              <w:end w:w="100" w:type="dxa"/>
            </w:tcMar>
            <w:vAlign w:val="top"/>
          </w:tcPr>
          <w:p>
            <w:pPr>
              <w:spacing w:after="0" w:line="240" w:lineRule="auto"/>
              <w:keepNext w:val="1"/>
            </w:pPr>
            <w:r>
              <w:rPr>
                <w:b/>
                <w:color w:val="2D3436"/>
                <w:sz w:val="15"/>
              </w:rPr>
              <w:t>Operations</w:t>
            </w:r>
          </w:p>
        </w:tc>
        <w:tc>
          <w:tcPr>
            <w:tcW w:type="dxa" w:w="8712"/>
            <w:shd w:fill="FFFFFF"/>
            <w:tcMar>
              <w:top w:w="42" w:type="dxa"/>
              <w:start w:w="100" w:type="dxa"/>
              <w:bottom w:w="42" w:type="dxa"/>
              <w:end w:w="100" w:type="dxa"/>
            </w:tcMar>
            <w:vAlign w:val="top"/>
          </w:tcPr>
          <w:p>
            <w:pPr>
              <w:spacing w:after="0" w:line="240" w:lineRule="auto"/>
              <w:keepNext w:val="1"/>
            </w:pPr>
            <w:r>
              <w:rPr>
                <w:sz w:val="15"/>
              </w:rPr>
              <w:t>Who monitors, secures, restores, bills and supports the network to the service standard?</w:t>
            </w:r>
          </w:p>
        </w:tc>
      </w:tr>
      <w:tr>
        <w:trPr>
          <w:cantSplit w:val="true"/>
          <w:trHeight w:hRule="atLeast"/>
        </w:trPr>
        <w:tc>
          <w:tcPr>
            <w:tcW w:type="dxa" w:w="1728"/>
            <w:shd w:fill="F3F4F4"/>
            <w:tcMar>
              <w:top w:w="42" w:type="dxa"/>
              <w:start w:w="100" w:type="dxa"/>
              <w:bottom w:w="42" w:type="dxa"/>
              <w:end w:w="100" w:type="dxa"/>
            </w:tcMar>
            <w:vAlign w:val="top"/>
          </w:tcPr>
          <w:p>
            <w:pPr>
              <w:spacing w:after="0" w:line="240" w:lineRule="auto"/>
            </w:pPr>
            <w:r>
              <w:rPr>
                <w:b/>
                <w:color w:val="2D3436"/>
                <w:sz w:val="15"/>
              </w:rPr>
              <w:t>Finance</w:t>
            </w:r>
          </w:p>
        </w:tc>
        <w:tc>
          <w:tcPr>
            <w:tcW w:type="dxa" w:w="8712"/>
            <w:shd w:fill="F3F4F4"/>
            <w:tcMar>
              <w:top w:w="42" w:type="dxa"/>
              <w:start w:w="100" w:type="dxa"/>
              <w:bottom w:w="42" w:type="dxa"/>
              <w:end w:w="100" w:type="dxa"/>
            </w:tcMar>
            <w:vAlign w:val="top"/>
          </w:tcPr>
          <w:p>
            <w:pPr>
              <w:spacing w:after="0" w:line="240" w:lineRule="auto"/>
            </w:pPr>
            <w:r>
              <w:rPr>
                <w:sz w:val="15"/>
              </w:rPr>
              <w:t>At what take-rate and price does the model cover debt, operation, electronics replacement and future capacity?</w:t>
            </w:r>
          </w:p>
        </w:tc>
      </w:tr>
    </w:tbl>
    <w:p>
      <w:pPr>
        <w:spacing w:after="0" w:line="40" w:lineRule="exact"/>
      </w:pPr>
      <w:r>
        <w:rPr>
          <w:sz w:val="2"/>
        </w:rPr>
        <w:t xml:space="preserve"> </w:t>
      </w:r>
    </w:p>
    <w:p>
      <w:pPr>
        <w:pStyle w:val="Heading1"/>
        <w:keepNext w:val="1"/>
        <w:keepLines w:val="1"/>
      </w:pPr>
      <w:r>
        <w:t>Measures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664"/>
            <w:shd w:fill="244C5A"/>
            <w:tcMar>
              <w:top w:w="58" w:type="dxa"/>
              <w:start w:w="100" w:type="dxa"/>
              <w:bottom w:w="58" w:type="dxa"/>
              <w:end w:w="100" w:type="dxa"/>
            </w:tcMar>
            <w:vAlign w:val="center"/>
          </w:tcPr>
          <w:p>
            <w:pPr>
              <w:spacing w:after="0"/>
            </w:pPr>
            <w:r>
              <w:rPr>
                <w:b/>
                <w:color w:val="FFFFFF"/>
                <w:sz w:val="16"/>
              </w:rPr>
              <w:t>Measure</w:t>
            </w:r>
          </w:p>
        </w:tc>
        <w:tc>
          <w:tcPr>
            <w:tcW w:type="dxa" w:w="7776"/>
            <w:shd w:fill="244C5A"/>
            <w:tcMar>
              <w:top w:w="58" w:type="dxa"/>
              <w:start w:w="100" w:type="dxa"/>
              <w:bottom w:w="58" w:type="dxa"/>
              <w:end w:w="100" w:type="dxa"/>
            </w:tcMar>
            <w:vAlign w:val="center"/>
          </w:tcPr>
          <w:p>
            <w:pPr>
              <w:spacing w:after="0"/>
            </w:pPr>
            <w:r>
              <w:rPr>
                <w:b/>
                <w:color w:val="FFFFFF"/>
                <w:sz w:val="16"/>
              </w:rPr>
              <w:t>Definition and interpretation</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Premises served</w:t>
            </w:r>
          </w:p>
        </w:tc>
        <w:tc>
          <w:tcPr>
            <w:tcW w:type="dxa" w:w="7776"/>
            <w:shd w:fill="FFFFFF"/>
            <w:tcMar>
              <w:top w:w="42" w:type="dxa"/>
              <w:start w:w="100" w:type="dxa"/>
              <w:bottom w:w="42" w:type="dxa"/>
              <w:end w:w="100" w:type="dxa"/>
            </w:tcMar>
            <w:vAlign w:val="top"/>
          </w:tcPr>
          <w:p>
            <w:pPr>
              <w:spacing w:after="0" w:line="240" w:lineRule="auto"/>
            </w:pPr>
            <w:r>
              <w:rPr>
                <w:sz w:val="15"/>
              </w:rPr>
              <w:t>Serviceable premises by technology and geography, excluding locations that cannot obtain installation within the stated time or cost.</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Actual performance</w:t>
            </w:r>
          </w:p>
        </w:tc>
        <w:tc>
          <w:tcPr>
            <w:tcW w:type="dxa" w:w="7776"/>
            <w:shd w:fill="F3F4F4"/>
            <w:tcMar>
              <w:top w:w="42" w:type="dxa"/>
              <w:start w:w="100" w:type="dxa"/>
              <w:bottom w:w="42" w:type="dxa"/>
              <w:end w:w="100" w:type="dxa"/>
            </w:tcMar>
            <w:vAlign w:val="top"/>
          </w:tcPr>
          <w:p>
            <w:pPr>
              <w:spacing w:after="0" w:line="240" w:lineRule="auto"/>
            </w:pPr>
            <w:r>
              <w:rPr>
                <w:sz w:val="15"/>
              </w:rPr>
              <w:t>Download, upload, latency and jitter at representative times and locations; report advertised tiers separately.</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Reliability</w:t>
            </w:r>
          </w:p>
        </w:tc>
        <w:tc>
          <w:tcPr>
            <w:tcW w:type="dxa" w:w="7776"/>
            <w:shd w:fill="FFFFFF"/>
            <w:tcMar>
              <w:top w:w="42" w:type="dxa"/>
              <w:start w:w="100" w:type="dxa"/>
              <w:bottom w:w="42" w:type="dxa"/>
              <w:end w:w="100" w:type="dxa"/>
            </w:tcMar>
            <w:vAlign w:val="top"/>
          </w:tcPr>
          <w:p>
            <w:pPr>
              <w:spacing w:after="0" w:line="240" w:lineRule="auto"/>
            </w:pPr>
            <w:r>
              <w:rPr>
                <w:sz w:val="15"/>
              </w:rPr>
              <w:t>Uptime, outage frequency and duration, customers affected and mean restoration time.</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Affordability</w:t>
            </w:r>
          </w:p>
        </w:tc>
        <w:tc>
          <w:tcPr>
            <w:tcW w:type="dxa" w:w="7776"/>
            <w:shd w:fill="F3F4F4"/>
            <w:tcMar>
              <w:top w:w="42" w:type="dxa"/>
              <w:start w:w="100" w:type="dxa"/>
              <w:bottom w:w="42" w:type="dxa"/>
              <w:end w:w="100" w:type="dxa"/>
            </w:tcMar>
            <w:vAlign w:val="top"/>
          </w:tcPr>
          <w:p>
            <w:pPr>
              <w:spacing w:after="0" w:line="240" w:lineRule="auto"/>
            </w:pPr>
            <w:r>
              <w:rPr>
                <w:sz w:val="15"/>
              </w:rPr>
              <w:t>Monthly all-in price for a defined tier, installation and equipment cost, and share of target household income where data permit.</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Adoption and take-rate</w:t>
            </w:r>
          </w:p>
        </w:tc>
        <w:tc>
          <w:tcPr>
            <w:tcW w:type="dxa" w:w="7776"/>
            <w:shd w:fill="FFFFFF"/>
            <w:tcMar>
              <w:top w:w="42" w:type="dxa"/>
              <w:start w:w="100" w:type="dxa"/>
              <w:bottom w:w="42" w:type="dxa"/>
              <w:end w:w="100" w:type="dxa"/>
            </w:tcMar>
            <w:vAlign w:val="top"/>
          </w:tcPr>
          <w:p>
            <w:pPr>
              <w:spacing w:after="0" w:line="240" w:lineRule="auto"/>
            </w:pPr>
            <w:r>
              <w:rPr>
                <w:sz w:val="15"/>
              </w:rPr>
              <w:t>Subscribed households or premises divided by serviceable premises; report churn, arrears and non-adoption reasons.</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Financial coverage</w:t>
            </w:r>
          </w:p>
        </w:tc>
        <w:tc>
          <w:tcPr>
            <w:tcW w:type="dxa" w:w="7776"/>
            <w:shd w:fill="F3F4F4"/>
            <w:tcMar>
              <w:top w:w="42" w:type="dxa"/>
              <w:start w:w="100" w:type="dxa"/>
              <w:bottom w:w="42" w:type="dxa"/>
              <w:end w:w="100" w:type="dxa"/>
            </w:tcMar>
            <w:vAlign w:val="top"/>
          </w:tcPr>
          <w:p>
            <w:pPr>
              <w:spacing w:after="0" w:line="240" w:lineRule="auto"/>
            </w:pPr>
            <w:r>
              <w:rPr>
                <w:sz w:val="15"/>
              </w:rPr>
              <w:t>Revenue relative to operations, pole or backhaul charges, debt service, electronics replacement and renewal reserves.</w:t>
            </w:r>
          </w:p>
        </w:tc>
      </w:tr>
      <w:tr>
        <w:trPr>
          <w:cantSplit w:val="true"/>
          <w:trHeight w:hRule="atLeast"/>
        </w:trPr>
        <w:tc>
          <w:tcPr>
            <w:tcW w:type="dxa" w:w="2664"/>
            <w:shd w:fill="FFFFFF"/>
            <w:tcMar>
              <w:top w:w="42" w:type="dxa"/>
              <w:start w:w="100" w:type="dxa"/>
              <w:bottom w:w="42" w:type="dxa"/>
              <w:end w:w="100" w:type="dxa"/>
            </w:tcMar>
            <w:vAlign w:val="top"/>
          </w:tcPr>
          <w:p>
            <w:pPr>
              <w:spacing w:after="0" w:line="240" w:lineRule="auto"/>
            </w:pPr>
            <w:r>
              <w:rPr>
                <w:b/>
                <w:color w:val="2D3436"/>
                <w:sz w:val="15"/>
              </w:rPr>
              <w:t>Open-access performance</w:t>
            </w:r>
          </w:p>
        </w:tc>
        <w:tc>
          <w:tcPr>
            <w:tcW w:type="dxa" w:w="7776"/>
            <w:shd w:fill="FFFFFF"/>
            <w:tcMar>
              <w:top w:w="42" w:type="dxa"/>
              <w:start w:w="100" w:type="dxa"/>
              <w:bottom w:w="42" w:type="dxa"/>
              <w:end w:w="100" w:type="dxa"/>
            </w:tcMar>
            <w:vAlign w:val="top"/>
          </w:tcPr>
          <w:p>
            <w:pPr>
              <w:spacing w:after="0" w:line="240" w:lineRule="auto"/>
            </w:pPr>
            <w:r>
              <w:rPr>
                <w:sz w:val="15"/>
              </w:rPr>
              <w:t>Wholesale tenants, service activation time, nondiscriminatory terms and utilization where that model is chosen.</w:t>
            </w:r>
          </w:p>
        </w:tc>
      </w:tr>
      <w:tr>
        <w:trPr>
          <w:cantSplit w:val="true"/>
          <w:trHeight w:hRule="atLeast"/>
        </w:trPr>
        <w:tc>
          <w:tcPr>
            <w:tcW w:type="dxa" w:w="2664"/>
            <w:shd w:fill="F3F4F4"/>
            <w:tcMar>
              <w:top w:w="42" w:type="dxa"/>
              <w:start w:w="100" w:type="dxa"/>
              <w:bottom w:w="42" w:type="dxa"/>
              <w:end w:w="100" w:type="dxa"/>
            </w:tcMar>
            <w:vAlign w:val="top"/>
          </w:tcPr>
          <w:p>
            <w:pPr>
              <w:spacing w:after="0" w:line="240" w:lineRule="auto"/>
            </w:pPr>
            <w:r>
              <w:rPr>
                <w:b/>
                <w:color w:val="2D3436"/>
                <w:sz w:val="15"/>
              </w:rPr>
              <w:t>Cyber and privacy</w:t>
            </w:r>
          </w:p>
        </w:tc>
        <w:tc>
          <w:tcPr>
            <w:tcW w:type="dxa" w:w="7776"/>
            <w:shd w:fill="F3F4F4"/>
            <w:tcMar>
              <w:top w:w="42" w:type="dxa"/>
              <w:start w:w="100" w:type="dxa"/>
              <w:bottom w:w="42" w:type="dxa"/>
              <w:end w:w="100" w:type="dxa"/>
            </w:tcMar>
            <w:vAlign w:val="top"/>
          </w:tcPr>
          <w:p>
            <w:pPr>
              <w:spacing w:after="0" w:line="240" w:lineRule="auto"/>
            </w:pPr>
            <w:r>
              <w:rPr>
                <w:sz w:val="15"/>
              </w:rPr>
              <w:t>Material incidents, time to contain and restore, patch compliance, tested recovery and privacy findings without exposing vulnerabilities.</w:t>
            </w:r>
          </w:p>
        </w:tc>
      </w:tr>
    </w:tbl>
    <w:p>
      <w:pPr>
        <w:spacing w:after="0" w:line="40" w:lineRule="exact"/>
      </w:pPr>
      <w:r>
        <w:rPr>
          <w:sz w:val="2"/>
        </w:rPr>
        <w:t xml:space="preserve"> </w:t>
      </w:r>
    </w:p>
    <w:p>
      <w:pPr>
        <w:pStyle w:val="Heading1"/>
        <w:keepNext w:val="1"/>
        <w:keepLines w:val="1"/>
      </w:pPr>
      <w:r>
        <w:t>Evidence and scenario status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232"/>
            <w:shd w:fill="244C5A"/>
            <w:tcMar>
              <w:top w:w="58" w:type="dxa"/>
              <w:start w:w="100" w:type="dxa"/>
              <w:bottom w:w="58" w:type="dxa"/>
              <w:end w:w="100" w:type="dxa"/>
            </w:tcMar>
            <w:vAlign w:val="center"/>
          </w:tcPr>
          <w:p>
            <w:pPr>
              <w:spacing w:after="0"/>
              <w:keepNext w:val="1"/>
            </w:pPr>
            <w:r>
              <w:rPr>
                <w:b/>
                <w:color w:val="FFFFFF"/>
                <w:sz w:val="16"/>
              </w:rPr>
              <w:t>Evidence status</w:t>
            </w:r>
          </w:p>
        </w:tc>
        <w:tc>
          <w:tcPr>
            <w:tcW w:type="dxa" w:w="8208"/>
            <w:shd w:fill="244C5A"/>
            <w:tcMar>
              <w:top w:w="58" w:type="dxa"/>
              <w:start w:w="100" w:type="dxa"/>
              <w:bottom w:w="58" w:type="dxa"/>
              <w:end w:w="100" w:type="dxa"/>
            </w:tcMar>
            <w:vAlign w:val="center"/>
          </w:tcPr>
          <w:p>
            <w:pPr>
              <w:spacing w:after="0"/>
              <w:keepNext w:val="1"/>
            </w:pPr>
            <w:r>
              <w:rPr>
                <w:b/>
                <w:color w:val="FFFFFF"/>
                <w:sz w:val="16"/>
              </w:rPr>
              <w:t>What the page should say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Established evidence</w:t>
            </w:r>
          </w:p>
        </w:tc>
        <w:tc>
          <w:tcPr>
            <w:tcW w:type="dxa" w:w="8208"/>
            <w:shd w:fill="FFFFFF"/>
            <w:tcMar>
              <w:top w:w="42" w:type="dxa"/>
              <w:start w:w="100" w:type="dxa"/>
              <w:bottom w:w="42" w:type="dxa"/>
              <w:end w:w="100" w:type="dxa"/>
            </w:tcMar>
            <w:vAlign w:val="top"/>
          </w:tcPr>
          <w:p>
            <w:pPr>
              <w:spacing w:after="0" w:line="240" w:lineRule="auto"/>
              <w:keepNext w:val="1"/>
            </w:pPr>
            <w:r>
              <w:rPr>
                <w:sz w:val="15"/>
              </w:rPr>
              <w:t>The CRTC established a universal service objective that includes 50 Mbps download, 10 Mbps upload and an unlimited-data option for fixed broadband. Federal programs have funded broadband expansion. Municipalities can coordinate local infrastructure under applicable law.</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keepNext w:val="1"/>
            </w:pPr>
            <w:r>
              <w:rPr>
                <w:b/>
                <w:color w:val="2D3436"/>
                <w:sz w:val="15"/>
              </w:rPr>
              <w:t>Local evidence required</w:t>
            </w:r>
          </w:p>
        </w:tc>
        <w:tc>
          <w:tcPr>
            <w:tcW w:type="dxa" w:w="8208"/>
            <w:shd w:fill="F3F4F4"/>
            <w:tcMar>
              <w:top w:w="42" w:type="dxa"/>
              <w:start w:w="100" w:type="dxa"/>
              <w:bottom w:w="42" w:type="dxa"/>
              <w:end w:w="100" w:type="dxa"/>
            </w:tcMar>
            <w:vAlign w:val="top"/>
          </w:tcPr>
          <w:p>
            <w:pPr>
              <w:spacing w:after="0" w:line="240" w:lineRule="auto"/>
              <w:keepNext w:val="1"/>
            </w:pPr>
            <w:r>
              <w:rPr>
                <w:sz w:val="15"/>
              </w:rPr>
              <w:t>Premise-level actual service, affordability, adoption, provider plans, backhaul, poles and conduit, route cost, anchor demand, take-rate, churn, operating capacity, cyber maturity and provincial authority.</w:t>
            </w:r>
          </w:p>
        </w:tc>
      </w:tr>
      <w:tr>
        <w:trPr>
          <w:cantSplit w:val="true"/>
          <w:trHeight w:hRule="atLeast"/>
        </w:trPr>
        <w:tc>
          <w:tcPr>
            <w:tcW w:type="dxa" w:w="2232"/>
            <w:shd w:fill="FFFFFF"/>
            <w:tcMar>
              <w:top w:w="42" w:type="dxa"/>
              <w:start w:w="100" w:type="dxa"/>
              <w:bottom w:w="42" w:type="dxa"/>
              <w:end w:w="100" w:type="dxa"/>
            </w:tcMar>
            <w:vAlign w:val="top"/>
          </w:tcPr>
          <w:p>
            <w:pPr>
              <w:spacing w:after="0" w:line="240" w:lineRule="auto"/>
              <w:keepNext w:val="1"/>
            </w:pPr>
            <w:r>
              <w:rPr>
                <w:b/>
                <w:color w:val="2D3436"/>
                <w:sz w:val="15"/>
              </w:rPr>
              <w:t>CDMM scenario</w:t>
            </w:r>
          </w:p>
        </w:tc>
        <w:tc>
          <w:tcPr>
            <w:tcW w:type="dxa" w:w="8208"/>
            <w:shd w:fill="FFFFFF"/>
            <w:tcMar>
              <w:top w:w="42" w:type="dxa"/>
              <w:start w:w="100" w:type="dxa"/>
              <w:bottom w:w="42" w:type="dxa"/>
              <w:end w:w="100" w:type="dxa"/>
            </w:tcMar>
            <w:vAlign w:val="top"/>
          </w:tcPr>
          <w:p>
            <w:pPr>
              <w:spacing w:after="0" w:line="240" w:lineRule="auto"/>
              <w:keepNext w:val="1"/>
            </w:pPr>
            <w:r>
              <w:rPr>
                <w:sz w:val="15"/>
              </w:rPr>
              <w:t>Municipal conduit, wholesale fibre, gap agreements or retail service could improve coverage, price, reliability or competition. Municipal network outcomes vary; each model needs demand sensitivity and an upgrade plan.</w:t>
            </w:r>
          </w:p>
        </w:tc>
      </w:tr>
      <w:tr>
        <w:trPr>
          <w:cantSplit w:val="true"/>
          <w:trHeight w:hRule="atLeast"/>
        </w:trPr>
        <w:tc>
          <w:tcPr>
            <w:tcW w:type="dxa" w:w="2232"/>
            <w:shd w:fill="F3F4F4"/>
            <w:tcMar>
              <w:top w:w="42" w:type="dxa"/>
              <w:start w:w="100" w:type="dxa"/>
              <w:bottom w:w="42" w:type="dxa"/>
              <w:end w:w="100" w:type="dxa"/>
            </w:tcMar>
            <w:vAlign w:val="top"/>
          </w:tcPr>
          <w:p>
            <w:pPr>
              <w:spacing w:after="0" w:line="240" w:lineRule="auto"/>
            </w:pPr>
            <w:r>
              <w:rPr>
                <w:b/>
                <w:color w:val="2D3436"/>
                <w:sz w:val="15"/>
              </w:rPr>
              <w:t>Not claimed</w:t>
            </w:r>
          </w:p>
        </w:tc>
        <w:tc>
          <w:tcPr>
            <w:tcW w:type="dxa" w:w="8208"/>
            <w:shd w:fill="F3F4F4"/>
            <w:tcMar>
              <w:top w:w="42" w:type="dxa"/>
              <w:start w:w="100" w:type="dxa"/>
              <w:bottom w:w="42" w:type="dxa"/>
              <w:end w:w="100" w:type="dxa"/>
            </w:tcMar>
            <w:vAlign w:val="top"/>
          </w:tcPr>
          <w:p>
            <w:pPr>
              <w:spacing w:after="0" w:line="240" w:lineRule="auto"/>
            </w:pPr>
            <w:r>
              <w:rPr>
                <w:sz w:val="15"/>
              </w:rPr>
              <w:t>Digital &amp; Communications Autonomy does not transfer spectrum or telecom regulation, guarantee advertised performance, make municipal retail the preferred option, or assume every passed premise will subscribe.</w:t>
            </w:r>
          </w:p>
        </w:tc>
      </w:tr>
    </w:tbl>
    <w:p>
      <w:pPr>
        <w:spacing w:after="0" w:line="40" w:lineRule="exact"/>
      </w:pPr>
      <w:r>
        <w:rPr>
          <w:sz w:val="2"/>
        </w:rPr>
        <w:t xml:space="preserve"> </w:t>
      </w:r>
    </w:p>
    <w:p>
      <w:pPr>
        <w:pStyle w:val="Heading1"/>
        <w:keepNext w:val="1"/>
        <w:keepLines w:val="1"/>
      </w:pPr>
      <w:r>
        <w:t>Risks and safeguards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448"/>
            <w:shd w:fill="244C5A"/>
            <w:tcMar>
              <w:top w:w="58" w:type="dxa"/>
              <w:start w:w="100" w:type="dxa"/>
              <w:bottom w:w="58" w:type="dxa"/>
              <w:end w:w="100" w:type="dxa"/>
            </w:tcMar>
            <w:vAlign w:val="center"/>
          </w:tcPr>
          <w:p>
            <w:pPr>
              <w:spacing w:after="0"/>
              <w:keepNext w:val="1"/>
            </w:pPr>
            <w:r>
              <w:rPr>
                <w:b/>
                <w:color w:val="FFFFFF"/>
                <w:sz w:val="16"/>
              </w:rPr>
              <w:t>Risk</w:t>
            </w:r>
          </w:p>
        </w:tc>
        <w:tc>
          <w:tcPr>
            <w:tcW w:type="dxa" w:w="7992"/>
            <w:shd w:fill="244C5A"/>
            <w:tcMar>
              <w:top w:w="58" w:type="dxa"/>
              <w:start w:w="100" w:type="dxa"/>
              <w:bottom w:w="58" w:type="dxa"/>
              <w:end w:w="100" w:type="dxa"/>
            </w:tcMar>
            <w:vAlign w:val="center"/>
          </w:tcPr>
          <w:p>
            <w:pPr>
              <w:spacing w:after="0"/>
              <w:keepNext w:val="1"/>
            </w:pPr>
            <w:r>
              <w:rPr>
                <w:b/>
                <w:color w:val="FFFFFF"/>
                <w:sz w:val="16"/>
              </w:rPr>
              <w:t>Safeguard</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Take-rate shortfall</w:t>
            </w:r>
          </w:p>
        </w:tc>
        <w:tc>
          <w:tcPr>
            <w:tcW w:type="dxa" w:w="7992"/>
            <w:shd w:fill="FFFFFF"/>
            <w:tcMar>
              <w:top w:w="42" w:type="dxa"/>
              <w:start w:w="100" w:type="dxa"/>
              <w:bottom w:w="42" w:type="dxa"/>
              <w:end w:w="100" w:type="dxa"/>
            </w:tcMar>
            <w:vAlign w:val="top"/>
          </w:tcPr>
          <w:p>
            <w:pPr>
              <w:spacing w:after="0" w:line="240" w:lineRule="auto"/>
              <w:keepNext w:val="1"/>
            </w:pPr>
            <w:r>
              <w:rPr>
                <w:sz w:val="15"/>
              </w:rPr>
              <w:t>Independent demand research, anchor contracts, sensitivity and phased construction.</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Incumbent overbuild or price response</w:t>
            </w:r>
          </w:p>
        </w:tc>
        <w:tc>
          <w:tcPr>
            <w:tcW w:type="dxa" w:w="7992"/>
            <w:shd w:fill="F3F4F4"/>
            <w:tcMar>
              <w:top w:w="42" w:type="dxa"/>
              <w:start w:w="100" w:type="dxa"/>
              <w:bottom w:w="42" w:type="dxa"/>
              <w:end w:w="100" w:type="dxa"/>
            </w:tcMar>
            <w:vAlign w:val="top"/>
          </w:tcPr>
          <w:p>
            <w:pPr>
              <w:spacing w:after="0" w:line="240" w:lineRule="auto"/>
              <w:keepNext w:val="1"/>
            </w:pPr>
            <w:r>
              <w:rPr>
                <w:sz w:val="15"/>
              </w:rPr>
              <w:t>Model competitive response and select infrastructure that retains wholesale or strategic value.</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Technology obsolescence</w:t>
            </w:r>
          </w:p>
        </w:tc>
        <w:tc>
          <w:tcPr>
            <w:tcW w:type="dxa" w:w="7992"/>
            <w:shd w:fill="FFFFFF"/>
            <w:tcMar>
              <w:top w:w="42" w:type="dxa"/>
              <w:start w:w="100" w:type="dxa"/>
              <w:bottom w:w="42" w:type="dxa"/>
              <w:end w:w="100" w:type="dxa"/>
            </w:tcMar>
            <w:vAlign w:val="top"/>
          </w:tcPr>
          <w:p>
            <w:pPr>
              <w:spacing w:after="0" w:line="240" w:lineRule="auto"/>
              <w:keepNext w:val="1"/>
            </w:pPr>
            <w:r>
              <w:rPr>
                <w:sz w:val="15"/>
              </w:rPr>
              <w:t>Standards-based, upgradeable design and funded electronics replacement.</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keepNext w:val="1"/>
            </w:pPr>
            <w:r>
              <w:rPr>
                <w:b/>
                <w:color w:val="2D3436"/>
                <w:sz w:val="15"/>
              </w:rPr>
              <w:t>Cyber or privacy breach</w:t>
            </w:r>
          </w:p>
        </w:tc>
        <w:tc>
          <w:tcPr>
            <w:tcW w:type="dxa" w:w="7992"/>
            <w:shd w:fill="F3F4F4"/>
            <w:tcMar>
              <w:top w:w="42" w:type="dxa"/>
              <w:start w:w="100" w:type="dxa"/>
              <w:bottom w:w="42" w:type="dxa"/>
              <w:end w:w="100" w:type="dxa"/>
            </w:tcMar>
            <w:vAlign w:val="top"/>
          </w:tcPr>
          <w:p>
            <w:pPr>
              <w:spacing w:after="0" w:line="240" w:lineRule="auto"/>
              <w:keepNext w:val="1"/>
            </w:pPr>
            <w:r>
              <w:rPr>
                <w:sz w:val="15"/>
              </w:rPr>
              <w:t>Independent security architecture, segmentation, minimum-data collection, testing and incident reporting.</w:t>
            </w:r>
          </w:p>
        </w:tc>
      </w:tr>
      <w:tr>
        <w:trPr>
          <w:cantSplit w:val="true"/>
          <w:trHeight w:hRule="atLeast"/>
        </w:trPr>
        <w:tc>
          <w:tcPr>
            <w:tcW w:type="dxa" w:w="2448"/>
            <w:shd w:fill="FFFFFF"/>
            <w:tcMar>
              <w:top w:w="42" w:type="dxa"/>
              <w:start w:w="100" w:type="dxa"/>
              <w:bottom w:w="42" w:type="dxa"/>
              <w:end w:w="100" w:type="dxa"/>
            </w:tcMar>
            <w:vAlign w:val="top"/>
          </w:tcPr>
          <w:p>
            <w:pPr>
              <w:spacing w:after="0" w:line="240" w:lineRule="auto"/>
              <w:keepNext w:val="1"/>
            </w:pPr>
            <w:r>
              <w:rPr>
                <w:b/>
                <w:color w:val="2D3436"/>
                <w:sz w:val="15"/>
              </w:rPr>
              <w:t>Operational under-capacity</w:t>
            </w:r>
          </w:p>
        </w:tc>
        <w:tc>
          <w:tcPr>
            <w:tcW w:type="dxa" w:w="7992"/>
            <w:shd w:fill="FFFFFF"/>
            <w:tcMar>
              <w:top w:w="42" w:type="dxa"/>
              <w:start w:w="100" w:type="dxa"/>
              <w:bottom w:w="42" w:type="dxa"/>
              <w:end w:w="100" w:type="dxa"/>
            </w:tcMar>
            <w:vAlign w:val="top"/>
          </w:tcPr>
          <w:p>
            <w:pPr>
              <w:spacing w:after="0" w:line="240" w:lineRule="auto"/>
              <w:keepNext w:val="1"/>
            </w:pPr>
            <w:r>
              <w:rPr>
                <w:sz w:val="15"/>
              </w:rPr>
              <w:t>Qualified operator, measurable service-level agreement, spares, restoration drills and 24-hour escalation for critical systems.</w:t>
            </w:r>
          </w:p>
        </w:tc>
      </w:tr>
      <w:tr>
        <w:trPr>
          <w:cantSplit w:val="true"/>
          <w:trHeight w:hRule="atLeast"/>
        </w:trPr>
        <w:tc>
          <w:tcPr>
            <w:tcW w:type="dxa" w:w="2448"/>
            <w:shd w:fill="F3F4F4"/>
            <w:tcMar>
              <w:top w:w="42" w:type="dxa"/>
              <w:start w:w="100" w:type="dxa"/>
              <w:bottom w:w="42" w:type="dxa"/>
              <w:end w:w="100" w:type="dxa"/>
            </w:tcMar>
            <w:vAlign w:val="top"/>
          </w:tcPr>
          <w:p>
            <w:pPr>
              <w:spacing w:after="0" w:line="240" w:lineRule="auto"/>
            </w:pPr>
            <w:r>
              <w:rPr>
                <w:b/>
                <w:color w:val="2D3436"/>
                <w:sz w:val="15"/>
              </w:rPr>
              <w:t>Digital exclusion</w:t>
            </w:r>
          </w:p>
        </w:tc>
        <w:tc>
          <w:tcPr>
            <w:tcW w:type="dxa" w:w="7992"/>
            <w:shd w:fill="F3F4F4"/>
            <w:tcMar>
              <w:top w:w="42" w:type="dxa"/>
              <w:start w:w="100" w:type="dxa"/>
              <w:bottom w:w="42" w:type="dxa"/>
              <w:end w:w="100" w:type="dxa"/>
            </w:tcMar>
            <w:vAlign w:val="top"/>
          </w:tcPr>
          <w:p>
            <w:pPr>
              <w:spacing w:after="0" w:line="240" w:lineRule="auto"/>
            </w:pPr>
            <w:r>
              <w:rPr>
                <w:sz w:val="15"/>
              </w:rPr>
              <w:t>Affordability and literacy supports plus telephone and in-person alternatives for essential municipal services.</w:t>
            </w:r>
          </w:p>
        </w:tc>
      </w:tr>
    </w:tbl>
    <w:p>
      <w:pPr>
        <w:spacing w:after="0" w:line="40" w:lineRule="exact"/>
      </w:pPr>
      <w:r>
        <w:rPr>
          <w:sz w:val="2"/>
        </w:rPr>
        <w:t xml:space="preserve"> </w:t>
      </w:r>
    </w:p>
    <w:p>
      <w:pPr>
        <w:pStyle w:val="Heading1"/>
        <w:keepNext w:val="1"/>
        <w:keepLines w:val="1"/>
      </w:pPr>
      <w:r>
        <w:t>Suggested sources</w:t>
      </w:r>
    </w:p>
    <w:p>
      <w:pPr>
        <w:pStyle w:val="Source"/>
      </w:pPr>
      <w:r>
        <w:rPr>
          <w:b/>
        </w:rPr>
        <w:t xml:space="preserve">D1  </w:t>
      </w:r>
      <w:hyperlink r:id="rId31">
        <w:r>
          <w:rPr>
            <w:color w:val="244C5A"/>
            <w:u w:val="single"/>
            <w:rFonts w:ascii="Aptos" w:hAnsi="Aptos"/>
          </w:rPr>
          <w:t>CRTC Telecom Regulatory Policy 2016-496</w:t>
        </w:r>
      </w:hyperlink>
      <w:r>
        <w:t xml:space="preserve"> — Establishes the universal service objective; local actual-service and affordability evidence is still required.</w:t>
      </w:r>
    </w:p>
    <w:p>
      <w:pPr>
        <w:pStyle w:val="Source"/>
      </w:pPr>
      <w:r>
        <w:rPr>
          <w:b/>
        </w:rPr>
        <w:t xml:space="preserve">D2  </w:t>
      </w:r>
      <w:hyperlink r:id="rId32">
        <w:r>
          <w:rPr>
            <w:color w:val="244C5A"/>
            <w:u w:val="single"/>
            <w:rFonts w:ascii="Aptos" w:hAnsi="Aptos"/>
          </w:rPr>
          <w:t>Innovation, Science and Economic Development Canada Universal Broadband Fund</w:t>
        </w:r>
      </w:hyperlink>
      <w:r>
        <w:t xml:space="preserve"> — Documents federal broadband expansion policy and projects; program status must be checked before stating funding availability.</w:t>
      </w:r>
    </w:p>
    <w:p>
      <w:r>
        <w:br w:type="page"/>
      </w:r>
    </w:p>
    <w:p>
      <w:pPr>
        <w:pStyle w:val="Kicker"/>
        <w:keepNext w:val="1"/>
        <w:keepLines w:val="1"/>
      </w:pPr>
      <w:r>
        <w:t>WEB EDITOR NOTES</w:t>
      </w:r>
    </w:p>
    <w:p>
      <w:pPr>
        <w:pStyle w:val="TitlePage"/>
        <w:keepNext w:val="1"/>
        <w:keepLines w:val="1"/>
      </w:pPr>
      <w:bookmarkStart w:id="152006" w:name="site_revisions"/>
      <w:bookmarkEnd w:id="152006"/>
      <w:r>
        <w:t>Site-wide revisions</w:t>
      </w:r>
    </w:p>
    <w:p>
      <w:pPr>
        <w:pStyle w:val="BodyText"/>
      </w:pPr>
      <w:r>
        <w:t>The existing site gives Housing and Municipal Grocery their own pages but compresses the other fields into Enterprises. It also uses both a six-pillar structure and a three-core-pillars-plus-initiatives structure. Those competing architectures should be retired. The public model should have one authoritative list of nine Autonomies everywhere.</w:t>
      </w:r>
    </w:p>
    <w:p>
      <w:pPr>
        <w:pStyle w:val="Heading1"/>
        <w:keepNext w:val="1"/>
        <w:keepLines w:val="1"/>
      </w:pPr>
      <w:r>
        <w:t>Navigation and URL plan</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088"/>
            <w:shd w:fill="244C5A"/>
            <w:tcMar>
              <w:top w:w="82" w:type="dxa"/>
              <w:start w:w="100" w:type="dxa"/>
              <w:bottom w:w="82" w:type="dxa"/>
              <w:end w:w="100" w:type="dxa"/>
            </w:tcMar>
            <w:vAlign w:val="center"/>
          </w:tcPr>
          <w:p>
            <w:pPr>
              <w:spacing w:after="0"/>
              <w:keepNext w:val="1"/>
            </w:pPr>
            <w:r>
              <w:rPr>
                <w:b/>
                <w:color w:val="FFFFFF"/>
                <w:sz w:val="17"/>
              </w:rPr>
              <w:t>Action</w:t>
            </w:r>
          </w:p>
        </w:tc>
        <w:tc>
          <w:tcPr>
            <w:tcW w:type="dxa" w:w="8352"/>
            <w:shd w:fill="244C5A"/>
            <w:tcMar>
              <w:top w:w="82" w:type="dxa"/>
              <w:start w:w="100" w:type="dxa"/>
              <w:bottom w:w="82" w:type="dxa"/>
              <w:end w:w="100" w:type="dxa"/>
            </w:tcMar>
            <w:vAlign w:val="center"/>
          </w:tcPr>
          <w:p>
            <w:pPr>
              <w:spacing w:after="0"/>
              <w:keepNext w:val="1"/>
            </w:pPr>
            <w:r>
              <w:rPr>
                <w:b/>
                <w:color w:val="FFFFFF"/>
                <w:sz w:val="17"/>
              </w:rPr>
              <w:t>Recommended implementation</w:t>
            </w:r>
          </w:p>
        </w:tc>
      </w:tr>
      <w:tr>
        <w:trPr>
          <w:cantSplit w:val="true"/>
          <w:trHeight w:hRule="atLeast"/>
        </w:trPr>
        <w:tc>
          <w:tcPr>
            <w:tcW w:type="dxa" w:w="2088"/>
            <w:shd w:fill="FFFFFF"/>
            <w:tcMar>
              <w:top w:w="68" w:type="dxa"/>
              <w:start w:w="100" w:type="dxa"/>
              <w:bottom w:w="68" w:type="dxa"/>
              <w:end w:w="100" w:type="dxa"/>
            </w:tcMar>
            <w:vAlign w:val="top"/>
          </w:tcPr>
          <w:p>
            <w:pPr>
              <w:spacing w:after="0" w:line="240" w:lineRule="auto"/>
              <w:keepNext w:val="1"/>
            </w:pPr>
            <w:r>
              <w:rPr>
                <w:b/>
                <w:color w:val="2D3436"/>
                <w:sz w:val="17"/>
              </w:rPr>
              <w:t>Add primary item</w:t>
            </w:r>
          </w:p>
        </w:tc>
        <w:tc>
          <w:tcPr>
            <w:tcW w:type="dxa" w:w="8352"/>
            <w:shd w:fill="FFFFFF"/>
            <w:tcMar>
              <w:top w:w="68" w:type="dxa"/>
              <w:start w:w="100" w:type="dxa"/>
              <w:bottom w:w="68" w:type="dxa"/>
              <w:end w:w="100" w:type="dxa"/>
            </w:tcMar>
            <w:vAlign w:val="top"/>
          </w:tcPr>
          <w:p>
            <w:pPr>
              <w:spacing w:after="0" w:line="240" w:lineRule="auto"/>
              <w:keepNext w:val="1"/>
            </w:pPr>
            <w:r>
              <w:rPr>
                <w:sz w:val="17"/>
              </w:rPr>
              <w:t>Autonomies → /autonomies</w:t>
            </w:r>
          </w:p>
        </w:tc>
      </w:tr>
      <w:tr>
        <w:trPr>
          <w:cantSplit w:val="true"/>
          <w:trHeight w:hRule="atLeast"/>
        </w:trPr>
        <w:tc>
          <w:tcPr>
            <w:tcW w:type="dxa" w:w="2088"/>
            <w:shd w:fill="F3F4F4"/>
            <w:tcMar>
              <w:top w:w="68" w:type="dxa"/>
              <w:start w:w="100" w:type="dxa"/>
              <w:bottom w:w="68" w:type="dxa"/>
              <w:end w:w="100" w:type="dxa"/>
            </w:tcMar>
            <w:vAlign w:val="top"/>
          </w:tcPr>
          <w:p>
            <w:pPr>
              <w:spacing w:after="0" w:line="240" w:lineRule="auto"/>
              <w:keepNext w:val="1"/>
            </w:pPr>
            <w:r>
              <w:rPr>
                <w:b/>
                <w:color w:val="2D3436"/>
                <w:sz w:val="17"/>
              </w:rPr>
              <w:t>Keep existing pages</w:t>
            </w:r>
          </w:p>
        </w:tc>
        <w:tc>
          <w:tcPr>
            <w:tcW w:type="dxa" w:w="8352"/>
            <w:shd w:fill="F3F4F4"/>
            <w:tcMar>
              <w:top w:w="68" w:type="dxa"/>
              <w:start w:w="100" w:type="dxa"/>
              <w:bottom w:w="68" w:type="dxa"/>
              <w:end w:w="100" w:type="dxa"/>
            </w:tcMar>
            <w:vAlign w:val="top"/>
          </w:tcPr>
          <w:p>
            <w:pPr>
              <w:spacing w:after="0" w:line="240" w:lineRule="auto"/>
              <w:keepNext w:val="1"/>
            </w:pPr>
            <w:r>
              <w:rPr>
                <w:sz w:val="17"/>
              </w:rPr>
              <w:t>/housing and /municipal-grocery-autonomy to preserve links and search history.</w:t>
            </w:r>
          </w:p>
        </w:tc>
      </w:tr>
      <w:tr>
        <w:trPr>
          <w:cantSplit w:val="true"/>
          <w:trHeight w:hRule="atLeast"/>
        </w:trPr>
        <w:tc>
          <w:tcPr>
            <w:tcW w:type="dxa" w:w="2088"/>
            <w:shd w:fill="FFFFFF"/>
            <w:tcMar>
              <w:top w:w="68" w:type="dxa"/>
              <w:start w:w="100" w:type="dxa"/>
              <w:bottom w:w="68" w:type="dxa"/>
              <w:end w:w="100" w:type="dxa"/>
            </w:tcMar>
            <w:vAlign w:val="top"/>
          </w:tcPr>
          <w:p>
            <w:pPr>
              <w:spacing w:after="0" w:line="240" w:lineRule="auto"/>
              <w:keepNext w:val="1"/>
            </w:pPr>
            <w:r>
              <w:rPr>
                <w:b/>
                <w:color w:val="2D3436"/>
                <w:sz w:val="17"/>
              </w:rPr>
              <w:t>Add seven pages</w:t>
            </w:r>
          </w:p>
        </w:tc>
        <w:tc>
          <w:tcPr>
            <w:tcW w:type="dxa" w:w="8352"/>
            <w:shd w:fill="FFFFFF"/>
            <w:tcMar>
              <w:top w:w="68" w:type="dxa"/>
              <w:start w:w="100" w:type="dxa"/>
              <w:bottom w:w="68" w:type="dxa"/>
              <w:end w:w="100" w:type="dxa"/>
            </w:tcMar>
            <w:vAlign w:val="top"/>
          </w:tcPr>
          <w:p>
            <w:pPr>
              <w:spacing w:after="0" w:line="240" w:lineRule="auto"/>
              <w:keepNext w:val="1"/>
            </w:pPr>
            <w:r>
              <w:rPr>
                <w:sz w:val="17"/>
              </w:rPr>
              <w:t>/fuel-autonomy; /healthcare-autonomy; /transportation-autonomy; /workforce-skills-autonomy; /resource-development-autonomy; /energy-autonomy; /digital-communications-autonomy.</w:t>
            </w:r>
          </w:p>
        </w:tc>
      </w:tr>
      <w:tr>
        <w:trPr>
          <w:cantSplit w:val="true"/>
          <w:trHeight w:hRule="atLeast"/>
        </w:trPr>
        <w:tc>
          <w:tcPr>
            <w:tcW w:type="dxa" w:w="2088"/>
            <w:shd w:fill="F3F4F4"/>
            <w:tcMar>
              <w:top w:w="68" w:type="dxa"/>
              <w:start w:w="100" w:type="dxa"/>
              <w:bottom w:w="68" w:type="dxa"/>
              <w:end w:w="100" w:type="dxa"/>
            </w:tcMar>
            <w:vAlign w:val="top"/>
          </w:tcPr>
          <w:p>
            <w:pPr>
              <w:spacing w:after="0" w:line="240" w:lineRule="auto"/>
              <w:keepNext w:val="1"/>
            </w:pPr>
            <w:r>
              <w:rPr>
                <w:b/>
                <w:color w:val="2D3436"/>
                <w:sz w:val="17"/>
              </w:rPr>
              <w:t>Reframe Enterprises</w:t>
            </w:r>
          </w:p>
        </w:tc>
        <w:tc>
          <w:tcPr>
            <w:tcW w:type="dxa" w:w="8352"/>
            <w:shd w:fill="F3F4F4"/>
            <w:tcMar>
              <w:top w:w="68" w:type="dxa"/>
              <w:start w:w="100" w:type="dxa"/>
              <w:bottom w:w="68" w:type="dxa"/>
              <w:end w:w="100" w:type="dxa"/>
            </w:tcMar>
            <w:vAlign w:val="top"/>
          </w:tcPr>
          <w:p>
            <w:pPr>
              <w:spacing w:after="0" w:line="240" w:lineRule="auto"/>
              <w:keepNext w:val="1"/>
            </w:pPr>
            <w:r>
              <w:rPr>
                <w:sz w:val="17"/>
              </w:rPr>
              <w:t>Make /enterprises explain delivery vehicles and partnerships across all nine fields. It should no longer carry seven fields as miscellaneous initiatives.</w:t>
            </w:r>
          </w:p>
        </w:tc>
      </w:tr>
      <w:tr>
        <w:trPr>
          <w:cantSplit w:val="true"/>
          <w:trHeight w:hRule="atLeast"/>
        </w:trPr>
        <w:tc>
          <w:tcPr>
            <w:tcW w:type="dxa" w:w="2088"/>
            <w:shd w:fill="FFFFFF"/>
            <w:tcMar>
              <w:top w:w="68" w:type="dxa"/>
              <w:start w:w="100" w:type="dxa"/>
              <w:bottom w:w="68" w:type="dxa"/>
              <w:end w:w="100" w:type="dxa"/>
            </w:tcMar>
            <w:vAlign w:val="top"/>
          </w:tcPr>
          <w:p>
            <w:pPr>
              <w:spacing w:after="0" w:line="240" w:lineRule="auto"/>
            </w:pPr>
            <w:r>
              <w:rPr>
                <w:b/>
                <w:color w:val="2D3436"/>
                <w:sz w:val="17"/>
              </w:rPr>
              <w:t>Mobile navigation</w:t>
            </w:r>
          </w:p>
        </w:tc>
        <w:tc>
          <w:tcPr>
            <w:tcW w:type="dxa" w:w="8352"/>
            <w:shd w:fill="FFFFFF"/>
            <w:tcMar>
              <w:top w:w="68" w:type="dxa"/>
              <w:start w:w="100" w:type="dxa"/>
              <w:bottom w:w="68" w:type="dxa"/>
              <w:end w:w="100" w:type="dxa"/>
            </w:tcMar>
            <w:vAlign w:val="top"/>
          </w:tcPr>
          <w:p>
            <w:pPr>
              <w:spacing w:after="0" w:line="240" w:lineRule="auto"/>
            </w:pPr>
            <w:r>
              <w:rPr>
                <w:sz w:val="17"/>
              </w:rPr>
              <w:t>Use one Autonomies menu item opening the hub; avoid nine top-level navigation items.</w:t>
            </w:r>
          </w:p>
        </w:tc>
      </w:tr>
    </w:tbl>
    <w:p>
      <w:pPr>
        <w:spacing w:after="0" w:line="40" w:lineRule="exact"/>
      </w:pPr>
      <w:r>
        <w:rPr>
          <w:sz w:val="2"/>
        </w:rPr>
        <w:t xml:space="preserve"> </w:t>
      </w:r>
    </w:p>
    <w:p>
      <w:pPr>
        <w:pStyle w:val="Heading1"/>
        <w:keepNext w:val="1"/>
        <w:keepLines w:val="1"/>
      </w:pPr>
      <w:r>
        <w:t>Required current-site corrections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3888"/>
            <w:shd w:fill="244C5A"/>
            <w:tcMar>
              <w:top w:w="58" w:type="dxa"/>
              <w:start w:w="100" w:type="dxa"/>
              <w:bottom w:w="58" w:type="dxa"/>
              <w:end w:w="100" w:type="dxa"/>
            </w:tcMar>
            <w:vAlign w:val="center"/>
          </w:tcPr>
          <w:p>
            <w:pPr>
              <w:spacing w:after="0"/>
              <w:keepNext w:val="1"/>
            </w:pPr>
            <w:r>
              <w:rPr>
                <w:b/>
                <w:color w:val="FFFFFF"/>
                <w:sz w:val="16"/>
              </w:rPr>
              <w:t>Current presentation</w:t>
            </w:r>
          </w:p>
        </w:tc>
        <w:tc>
          <w:tcPr>
            <w:tcW w:type="dxa" w:w="6552"/>
            <w:shd w:fill="244C5A"/>
            <w:tcMar>
              <w:top w:w="58" w:type="dxa"/>
              <w:start w:w="100" w:type="dxa"/>
              <w:bottom w:w="58" w:type="dxa"/>
              <w:end w:w="100" w:type="dxa"/>
            </w:tcMar>
            <w:vAlign w:val="center"/>
          </w:tcPr>
          <w:p>
            <w:pPr>
              <w:spacing w:after="0"/>
              <w:keepNext w:val="1"/>
            </w:pPr>
            <w:r>
              <w:rPr>
                <w:b/>
                <w:color w:val="FFFFFF"/>
                <w:sz w:val="16"/>
              </w:rPr>
              <w:t>Replace with</w:t>
            </w:r>
          </w:p>
        </w:tc>
      </w:tr>
      <w:tr>
        <w:trPr>
          <w:cantSplit w:val="true"/>
          <w:trHeight w:hRule="atLeast"/>
        </w:trPr>
        <w:tc>
          <w:tcPr>
            <w:tcW w:type="dxa" w:w="3888"/>
            <w:shd w:fill="FFFFFF"/>
            <w:tcMar>
              <w:top w:w="42" w:type="dxa"/>
              <w:start w:w="100" w:type="dxa"/>
              <w:bottom w:w="42" w:type="dxa"/>
              <w:end w:w="100" w:type="dxa"/>
            </w:tcMar>
            <w:vAlign w:val="top"/>
          </w:tcPr>
          <w:p>
            <w:pPr>
              <w:spacing w:after="0" w:line="240" w:lineRule="auto"/>
              <w:keepNext w:val="1"/>
            </w:pPr>
            <w:r>
              <w:rPr>
                <w:b/>
                <w:color w:val="2D3436"/>
                <w:sz w:val="15"/>
              </w:rPr>
              <w:t>“Six interconnected pillars define the model.”</w:t>
            </w:r>
          </w:p>
        </w:tc>
        <w:tc>
          <w:tcPr>
            <w:tcW w:type="dxa" w:w="6552"/>
            <w:shd w:fill="FFFFFF"/>
            <w:tcMar>
              <w:top w:w="42" w:type="dxa"/>
              <w:start w:w="100" w:type="dxa"/>
              <w:bottom w:w="42" w:type="dxa"/>
              <w:end w:w="100" w:type="dxa"/>
            </w:tcMar>
            <w:vAlign w:val="top"/>
          </w:tcPr>
          <w:p>
            <w:pPr>
              <w:spacing w:after="0" w:line="240" w:lineRule="auto"/>
              <w:keepNext w:val="1"/>
            </w:pPr>
            <w:r>
              <w:rPr>
                <w:sz w:val="15"/>
              </w:rPr>
              <w:t>“Nine Autonomies define CDMM’s current field architecture. Each is a local capability to test within provincial law, not a claim of constitutional independence.”</w:t>
            </w:r>
          </w:p>
        </w:tc>
      </w:tr>
      <w:tr>
        <w:trPr>
          <w:cantSplit w:val="true"/>
          <w:trHeight w:hRule="atLeast"/>
        </w:trPr>
        <w:tc>
          <w:tcPr>
            <w:tcW w:type="dxa" w:w="3888"/>
            <w:shd w:fill="F3F4F4"/>
            <w:tcMar>
              <w:top w:w="42" w:type="dxa"/>
              <w:start w:w="100" w:type="dxa"/>
              <w:bottom w:w="42" w:type="dxa"/>
              <w:end w:w="100" w:type="dxa"/>
            </w:tcMar>
            <w:vAlign w:val="top"/>
          </w:tcPr>
          <w:p>
            <w:pPr>
              <w:spacing w:after="0" w:line="240" w:lineRule="auto"/>
              <w:keepNext w:val="1"/>
            </w:pPr>
            <w:r>
              <w:rPr>
                <w:b/>
                <w:color w:val="2D3436"/>
                <w:sz w:val="15"/>
              </w:rPr>
              <w:t>“Three core pillars plus extended initiatives.”</w:t>
            </w:r>
          </w:p>
        </w:tc>
        <w:tc>
          <w:tcPr>
            <w:tcW w:type="dxa" w:w="6552"/>
            <w:shd w:fill="F3F4F4"/>
            <w:tcMar>
              <w:top w:w="42" w:type="dxa"/>
              <w:start w:w="100" w:type="dxa"/>
              <w:bottom w:w="42" w:type="dxa"/>
              <w:end w:w="100" w:type="dxa"/>
            </w:tcMar>
            <w:vAlign w:val="top"/>
          </w:tcPr>
          <w:p>
            <w:pPr>
              <w:spacing w:after="0" w:line="240" w:lineRule="auto"/>
              <w:keepNext w:val="1"/>
            </w:pPr>
            <w:r>
              <w:rPr>
                <w:sz w:val="15"/>
              </w:rPr>
              <w:t>One nine-field diagram or card grid. Do not label Housing, Grocery or Employment as more authoritative than the other six.</w:t>
            </w:r>
          </w:p>
        </w:tc>
      </w:tr>
      <w:tr>
        <w:trPr>
          <w:cantSplit w:val="true"/>
          <w:trHeight w:hRule="atLeast"/>
        </w:trPr>
        <w:tc>
          <w:tcPr>
            <w:tcW w:type="dxa" w:w="3888"/>
            <w:shd w:fill="FFFFFF"/>
            <w:tcMar>
              <w:top w:w="42" w:type="dxa"/>
              <w:start w:w="100" w:type="dxa"/>
              <w:bottom w:w="42" w:type="dxa"/>
              <w:end w:w="100" w:type="dxa"/>
            </w:tcMar>
            <w:vAlign w:val="top"/>
          </w:tcPr>
          <w:p>
            <w:pPr>
              <w:spacing w:after="0" w:line="240" w:lineRule="auto"/>
              <w:keepNext w:val="1"/>
            </w:pPr>
            <w:r>
              <w:rPr>
                <w:b/>
                <w:color w:val="2D3436"/>
                <w:sz w:val="15"/>
              </w:rPr>
              <w:t>“Self-sustaining” or “genuine fiscal autonomy” as a future condition</w:t>
            </w:r>
          </w:p>
        </w:tc>
        <w:tc>
          <w:tcPr>
            <w:tcW w:type="dxa" w:w="6552"/>
            <w:shd w:fill="FFFFFF"/>
            <w:tcMar>
              <w:top w:w="42" w:type="dxa"/>
              <w:start w:w="100" w:type="dxa"/>
              <w:bottom w:w="42" w:type="dxa"/>
              <w:end w:w="100" w:type="dxa"/>
            </w:tcMar>
            <w:vAlign w:val="top"/>
          </w:tcPr>
          <w:p>
            <w:pPr>
              <w:spacing w:after="0" w:line="240" w:lineRule="auto"/>
              <w:keepNext w:val="1"/>
            </w:pPr>
            <w:r>
              <w:rPr>
                <w:sz w:val="15"/>
              </w:rPr>
              <w:t>“Targeted operating sustainability” or “potential revenue diversification,” followed by a measurement and a clear statement that the result remains a scenario until demonstrated.</w:t>
            </w:r>
          </w:p>
        </w:tc>
      </w:tr>
      <w:tr>
        <w:trPr>
          <w:cantSplit w:val="true"/>
          <w:trHeight w:hRule="atLeast"/>
        </w:trPr>
        <w:tc>
          <w:tcPr>
            <w:tcW w:type="dxa" w:w="3888"/>
            <w:shd w:fill="F3F4F4"/>
            <w:tcMar>
              <w:top w:w="42" w:type="dxa"/>
              <w:start w:w="100" w:type="dxa"/>
              <w:bottom w:w="42" w:type="dxa"/>
              <w:end w:w="100" w:type="dxa"/>
            </w:tcMar>
            <w:vAlign w:val="top"/>
          </w:tcPr>
          <w:p>
            <w:pPr>
              <w:spacing w:after="0" w:line="240" w:lineRule="auto"/>
              <w:keepNext w:val="1"/>
            </w:pPr>
            <w:r>
              <w:rPr>
                <w:b/>
                <w:color w:val="2D3436"/>
                <w:sz w:val="15"/>
              </w:rPr>
              <w:t>Generic ranges for prices, jobs, contracts or retained spending</w:t>
            </w:r>
          </w:p>
        </w:tc>
        <w:tc>
          <w:tcPr>
            <w:tcW w:type="dxa" w:w="6552"/>
            <w:shd w:fill="F3F4F4"/>
            <w:tcMar>
              <w:top w:w="42" w:type="dxa"/>
              <w:start w:w="100" w:type="dxa"/>
              <w:bottom w:w="42" w:type="dxa"/>
              <w:end w:w="100" w:type="dxa"/>
            </w:tcMar>
            <w:vAlign w:val="top"/>
          </w:tcPr>
          <w:p>
            <w:pPr>
              <w:spacing w:after="0" w:line="240" w:lineRule="auto"/>
              <w:keepNext w:val="1"/>
            </w:pPr>
            <w:r>
              <w:rPr>
                <w:sz w:val="15"/>
              </w:rPr>
              <w:t>Remove until each range links to a transparent, dated calculation note with local inputs and sensitivity.</w:t>
            </w:r>
          </w:p>
        </w:tc>
      </w:tr>
      <w:tr>
        <w:trPr>
          <w:cantSplit w:val="true"/>
          <w:trHeight w:hRule="atLeast"/>
        </w:trPr>
        <w:tc>
          <w:tcPr>
            <w:tcW w:type="dxa" w:w="3888"/>
            <w:shd w:fill="FFFFFF"/>
            <w:tcMar>
              <w:top w:w="42" w:type="dxa"/>
              <w:start w:w="100" w:type="dxa"/>
              <w:bottom w:w="42" w:type="dxa"/>
              <w:end w:w="100" w:type="dxa"/>
            </w:tcMar>
            <w:vAlign w:val="top"/>
          </w:tcPr>
          <w:p>
            <w:pPr>
              <w:spacing w:after="0" w:line="240" w:lineRule="auto"/>
              <w:keepNext w:val="1"/>
            </w:pPr>
            <w:r>
              <w:rPr>
                <w:b/>
                <w:color w:val="2D3436"/>
                <w:sz w:val="15"/>
              </w:rPr>
              <w:t>MGA described as not involving private partnership</w:t>
            </w:r>
          </w:p>
        </w:tc>
        <w:tc>
          <w:tcPr>
            <w:tcW w:type="dxa" w:w="6552"/>
            <w:shd w:fill="FFFFFF"/>
            <w:tcMar>
              <w:top w:w="42" w:type="dxa"/>
              <w:start w:w="100" w:type="dxa"/>
              <w:bottom w:w="42" w:type="dxa"/>
              <w:end w:w="100" w:type="dxa"/>
            </w:tcMar>
            <w:vAlign w:val="top"/>
          </w:tcPr>
          <w:p>
            <w:pPr>
              <w:spacing w:after="0" w:line="240" w:lineRule="auto"/>
              <w:keepNext w:val="1"/>
            </w:pPr>
            <w:r>
              <w:rPr>
                <w:sz w:val="15"/>
              </w:rPr>
              <w:t>Clarify that municipal control can coexist with contracts and partnerships; private grocers and suppliers remain in the market.</w:t>
            </w:r>
          </w:p>
        </w:tc>
      </w:tr>
      <w:tr>
        <w:trPr>
          <w:cantSplit w:val="true"/>
          <w:trHeight w:hRule="atLeast"/>
        </w:trPr>
        <w:tc>
          <w:tcPr>
            <w:tcW w:type="dxa" w:w="3888"/>
            <w:shd w:fill="F3F4F4"/>
            <w:tcMar>
              <w:top w:w="42" w:type="dxa"/>
              <w:start w:w="100" w:type="dxa"/>
              <w:bottom w:w="42" w:type="dxa"/>
              <w:end w:w="100" w:type="dxa"/>
            </w:tcMar>
            <w:vAlign w:val="top"/>
          </w:tcPr>
          <w:p>
            <w:pPr>
              <w:spacing w:after="0" w:line="240" w:lineRule="auto"/>
            </w:pPr>
            <w:r>
              <w:rPr>
                <w:b/>
                <w:color w:val="2D3436"/>
                <w:sz w:val="15"/>
              </w:rPr>
              <w:t>One fixed housing tenure presented as universal</w:t>
            </w:r>
          </w:p>
        </w:tc>
        <w:tc>
          <w:tcPr>
            <w:tcW w:type="dxa" w:w="6552"/>
            <w:shd w:fill="F3F4F4"/>
            <w:tcMar>
              <w:top w:w="42" w:type="dxa"/>
              <w:start w:w="100" w:type="dxa"/>
              <w:bottom w:w="42" w:type="dxa"/>
              <w:end w:w="100" w:type="dxa"/>
            </w:tcMar>
            <w:vAlign w:val="top"/>
          </w:tcPr>
          <w:p>
            <w:pPr>
              <w:spacing w:after="0" w:line="240" w:lineRule="auto"/>
            </w:pPr>
            <w:r>
              <w:rPr>
                <w:sz w:val="15"/>
              </w:rPr>
              <w:t>Explain that municipal rental, fee simple, leasehold, shared-equity and other lawful models must be compared locally.</w:t>
            </w:r>
          </w:p>
        </w:tc>
      </w:tr>
    </w:tbl>
    <w:p>
      <w:pPr>
        <w:spacing w:after="0" w:line="40" w:lineRule="exact"/>
      </w:pPr>
      <w:r>
        <w:rPr>
          <w:sz w:val="2"/>
        </w:rPr>
        <w:t xml:space="preserve"> </w:t>
      </w:r>
    </w:p>
    <w:p>
      <w:pPr>
        <w:pStyle w:val="Heading1"/>
        <w:keepNext w:val="1"/>
        <w:keepLines w:val="1"/>
      </w:pPr>
      <w:r>
        <w:t>Global footer copy</w:t>
      </w:r>
    </w:p>
    <w:tbl>
      <w:tblPr>
        <w:tblW w:type="auto" w:w="0"/>
        <w:tblLayout w:type="fixed"/>
        <w:tblLook w:firstColumn="1" w:firstRow="1" w:lastColumn="0" w:lastRow="0" w:noHBand="0" w:noVBand="1" w:val="04A0"/>
      </w:tblPr>
      <w:tblGrid>
        <w:gridCol w:w="9994"/>
      </w:tblGrid>
      <w:tr>
        <w:trPr>
          <w:cantSplit w:val="true"/>
        </w:trPr>
        <w:tc>
          <w:tcPr>
            <w:tcW w:type="dxa" w:w="9994"/>
            <w:shd w:fill="F4E7DF"/>
            <w:tcMar>
              <w:top w:w="150" w:type="dxa"/>
              <w:start w:w="190" w:type="dxa"/>
              <w:bottom w:w="150" w:type="dxa"/>
              <w:end w:w="190" w:type="dxa"/>
            </w:tcMar>
            <w:tcBorders>
              <w:start w:val="single" w:sz="22" w:color="A95C34"/>
            </w:tcBorders>
          </w:tcPr>
          <w:p>
            <w:pPr>
              <w:spacing w:after="0"/>
            </w:pPr>
            <w:r>
              <w:rPr>
                <w:b/>
                <w:color w:val="2D3436"/>
                <w:sz w:val="22"/>
              </w:rPr>
              <w:t>Municipalities develop local capacity within each field. Provincial and federal governments retain their legislative, regulatory and funding responsibilities. Indigenous rights, title, treaties and Crown consultation obligations remain fully applicable. CDMM scenarios are proposals for feasibility testing and are not forecasts or guarantees.</w:t>
            </w:r>
          </w:p>
        </w:tc>
      </w:tr>
    </w:tbl>
    <w:p>
      <w:pPr>
        <w:spacing w:after="0"/>
      </w:pPr>
    </w:p>
    <w:p>
      <w:pPr>
        <w:pStyle w:val="Heading1"/>
        <w:keepNext w:val="1"/>
        <w:keepLines w:val="1"/>
      </w:pPr>
      <w:r>
        <w:t>Research-page redesign</w:t>
      </w:r>
    </w:p>
    <w:p>
      <w:pPr>
        <w:pStyle w:val="BodyText"/>
      </w:pPr>
      <w:r>
        <w:t>Use the Research page as a claim register rather than a promotional evidence shelf. Each numerical or causal claim should have an ID, page, status, source, geography, date, calculation note, owner, last review date and next evidence action. Archive superseded claims so changes remain visible.</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2088"/>
            <w:shd w:fill="244C5A"/>
            <w:tcMar>
              <w:top w:w="58" w:type="dxa"/>
              <w:start w:w="100" w:type="dxa"/>
              <w:bottom w:w="58" w:type="dxa"/>
              <w:end w:w="100" w:type="dxa"/>
            </w:tcMar>
            <w:vAlign w:val="center"/>
          </w:tcPr>
          <w:p>
            <w:pPr>
              <w:spacing w:after="0"/>
              <w:keepNext w:val="1"/>
            </w:pPr>
            <w:r>
              <w:rPr>
                <w:b/>
                <w:color w:val="FFFFFF"/>
                <w:sz w:val="16"/>
              </w:rPr>
              <w:t>Field</w:t>
            </w:r>
          </w:p>
        </w:tc>
        <w:tc>
          <w:tcPr>
            <w:tcW w:type="dxa" w:w="8352"/>
            <w:shd w:fill="244C5A"/>
            <w:tcMar>
              <w:top w:w="58" w:type="dxa"/>
              <w:start w:w="100" w:type="dxa"/>
              <w:bottom w:w="58" w:type="dxa"/>
              <w:end w:w="100" w:type="dxa"/>
            </w:tcMar>
            <w:vAlign w:val="center"/>
          </w:tcPr>
          <w:p>
            <w:pPr>
              <w:spacing w:after="0"/>
              <w:keepNext w:val="1"/>
            </w:pPr>
            <w:r>
              <w:rPr>
                <w:b/>
                <w:color w:val="FFFFFF"/>
                <w:sz w:val="16"/>
              </w:rPr>
              <w:t>Example</w:t>
            </w:r>
          </w:p>
        </w:tc>
      </w:tr>
      <w:tr>
        <w:trPr>
          <w:cantSplit w:val="true"/>
          <w:trHeight w:hRule="atLeast"/>
        </w:trPr>
        <w:tc>
          <w:tcPr>
            <w:tcW w:type="dxa" w:w="2088"/>
            <w:shd w:fill="FFFFFF"/>
            <w:tcMar>
              <w:top w:w="42" w:type="dxa"/>
              <w:start w:w="100" w:type="dxa"/>
              <w:bottom w:w="42" w:type="dxa"/>
              <w:end w:w="100" w:type="dxa"/>
            </w:tcMar>
            <w:vAlign w:val="top"/>
          </w:tcPr>
          <w:p>
            <w:pPr>
              <w:spacing w:after="0" w:line="240" w:lineRule="auto"/>
              <w:keepNext w:val="1"/>
            </w:pPr>
            <w:r>
              <w:rPr>
                <w:b/>
                <w:color w:val="2D3436"/>
                <w:sz w:val="15"/>
              </w:rPr>
              <w:t>Claim</w:t>
            </w:r>
          </w:p>
        </w:tc>
        <w:tc>
          <w:tcPr>
            <w:tcW w:type="dxa" w:w="8352"/>
            <w:shd w:fill="FFFFFF"/>
            <w:tcMar>
              <w:top w:w="42" w:type="dxa"/>
              <w:start w:w="100" w:type="dxa"/>
              <w:bottom w:w="42" w:type="dxa"/>
              <w:end w:w="100" w:type="dxa"/>
            </w:tcMar>
            <w:vAlign w:val="top"/>
          </w:tcPr>
          <w:p>
            <w:pPr>
              <w:spacing w:after="0" w:line="240" w:lineRule="auto"/>
              <w:keepNext w:val="1"/>
            </w:pPr>
            <w:r>
              <w:rPr>
                <w:sz w:val="15"/>
              </w:rPr>
              <w:t>A municipal grocery pilot could reduce the price of a defined essential basket.</w:t>
            </w:r>
          </w:p>
        </w:tc>
      </w:tr>
      <w:tr>
        <w:trPr>
          <w:cantSplit w:val="true"/>
          <w:trHeight w:hRule="atLeast"/>
        </w:trPr>
        <w:tc>
          <w:tcPr>
            <w:tcW w:type="dxa" w:w="2088"/>
            <w:shd w:fill="F3F4F4"/>
            <w:tcMar>
              <w:top w:w="42" w:type="dxa"/>
              <w:start w:w="100" w:type="dxa"/>
              <w:bottom w:w="42" w:type="dxa"/>
              <w:end w:w="100" w:type="dxa"/>
            </w:tcMar>
            <w:vAlign w:val="top"/>
          </w:tcPr>
          <w:p>
            <w:pPr>
              <w:spacing w:after="0" w:line="240" w:lineRule="auto"/>
              <w:keepNext w:val="1"/>
            </w:pPr>
            <w:r>
              <w:rPr>
                <w:b/>
                <w:color w:val="2D3436"/>
                <w:sz w:val="15"/>
              </w:rPr>
              <w:t>Status</w:t>
            </w:r>
          </w:p>
        </w:tc>
        <w:tc>
          <w:tcPr>
            <w:tcW w:type="dxa" w:w="8352"/>
            <w:shd w:fill="F3F4F4"/>
            <w:tcMar>
              <w:top w:w="42" w:type="dxa"/>
              <w:start w:w="100" w:type="dxa"/>
              <w:bottom w:w="42" w:type="dxa"/>
              <w:end w:w="100" w:type="dxa"/>
            </w:tcMar>
            <w:vAlign w:val="top"/>
          </w:tcPr>
          <w:p>
            <w:pPr>
              <w:spacing w:after="0" w:line="240" w:lineRule="auto"/>
              <w:keepNext w:val="1"/>
            </w:pPr>
            <w:r>
              <w:rPr>
                <w:sz w:val="15"/>
              </w:rPr>
              <w:t>CDMM scenario</w:t>
            </w:r>
          </w:p>
        </w:tc>
      </w:tr>
      <w:tr>
        <w:trPr>
          <w:cantSplit w:val="true"/>
          <w:trHeight w:hRule="atLeast"/>
        </w:trPr>
        <w:tc>
          <w:tcPr>
            <w:tcW w:type="dxa" w:w="2088"/>
            <w:shd w:fill="FFFFFF"/>
            <w:tcMar>
              <w:top w:w="42" w:type="dxa"/>
              <w:start w:w="100" w:type="dxa"/>
              <w:bottom w:w="42" w:type="dxa"/>
              <w:end w:w="100" w:type="dxa"/>
            </w:tcMar>
            <w:vAlign w:val="top"/>
          </w:tcPr>
          <w:p>
            <w:pPr>
              <w:spacing w:after="0" w:line="240" w:lineRule="auto"/>
              <w:keepNext w:val="1"/>
            </w:pPr>
            <w:r>
              <w:rPr>
                <w:b/>
                <w:color w:val="2D3436"/>
                <w:sz w:val="15"/>
              </w:rPr>
              <w:t>Established support</w:t>
            </w:r>
          </w:p>
        </w:tc>
        <w:tc>
          <w:tcPr>
            <w:tcW w:type="dxa" w:w="8352"/>
            <w:shd w:fill="FFFFFF"/>
            <w:tcMar>
              <w:top w:w="42" w:type="dxa"/>
              <w:start w:w="100" w:type="dxa"/>
              <w:bottom w:w="42" w:type="dxa"/>
              <w:end w:w="100" w:type="dxa"/>
            </w:tcMar>
            <w:vAlign w:val="top"/>
          </w:tcPr>
          <w:p>
            <w:pPr>
              <w:spacing w:after="0" w:line="240" w:lineRule="auto"/>
              <w:keepNext w:val="1"/>
            </w:pPr>
            <w:r>
              <w:rPr>
                <w:sz w:val="15"/>
              </w:rPr>
              <w:t>Greater competition can benefit consumers; Toronto has directed a municipal pilot.</w:t>
            </w:r>
          </w:p>
        </w:tc>
      </w:tr>
      <w:tr>
        <w:trPr>
          <w:cantSplit w:val="true"/>
          <w:trHeight w:hRule="atLeast"/>
        </w:trPr>
        <w:tc>
          <w:tcPr>
            <w:tcW w:type="dxa" w:w="2088"/>
            <w:shd w:fill="F3F4F4"/>
            <w:tcMar>
              <w:top w:w="42" w:type="dxa"/>
              <w:start w:w="100" w:type="dxa"/>
              <w:bottom w:w="42" w:type="dxa"/>
              <w:end w:w="100" w:type="dxa"/>
            </w:tcMar>
            <w:vAlign w:val="top"/>
          </w:tcPr>
          <w:p>
            <w:pPr>
              <w:spacing w:after="0" w:line="240" w:lineRule="auto"/>
              <w:keepNext w:val="1"/>
            </w:pPr>
            <w:r>
              <w:rPr>
                <w:b/>
                <w:color w:val="2D3436"/>
                <w:sz w:val="15"/>
              </w:rPr>
              <w:t>Local evidence</w:t>
            </w:r>
          </w:p>
        </w:tc>
        <w:tc>
          <w:tcPr>
            <w:tcW w:type="dxa" w:w="8352"/>
            <w:shd w:fill="F3F4F4"/>
            <w:tcMar>
              <w:top w:w="42" w:type="dxa"/>
              <w:start w:w="100" w:type="dxa"/>
              <w:bottom w:w="42" w:type="dxa"/>
              <w:end w:w="100" w:type="dxa"/>
            </w:tcMar>
            <w:vAlign w:val="top"/>
          </w:tcPr>
          <w:p>
            <w:pPr>
              <w:spacing w:after="0" w:line="240" w:lineRule="auto"/>
              <w:keepNext w:val="1"/>
            </w:pPr>
            <w:r>
              <w:rPr>
                <w:sz w:val="15"/>
              </w:rPr>
              <w:t>Comparable basket, wholesale quotes, demand, full operating cost and price policy.</w:t>
            </w:r>
          </w:p>
        </w:tc>
      </w:tr>
      <w:tr>
        <w:trPr>
          <w:cantSplit w:val="true"/>
          <w:trHeight w:hRule="atLeast"/>
        </w:trPr>
        <w:tc>
          <w:tcPr>
            <w:tcW w:type="dxa" w:w="2088"/>
            <w:shd w:fill="FFFFFF"/>
            <w:tcMar>
              <w:top w:w="42" w:type="dxa"/>
              <w:start w:w="100" w:type="dxa"/>
              <w:bottom w:w="42" w:type="dxa"/>
              <w:end w:w="100" w:type="dxa"/>
            </w:tcMar>
            <w:vAlign w:val="top"/>
          </w:tcPr>
          <w:p>
            <w:pPr>
              <w:spacing w:after="0" w:line="240" w:lineRule="auto"/>
              <w:keepNext w:val="1"/>
            </w:pPr>
            <w:r>
              <w:rPr>
                <w:b/>
                <w:color w:val="2D3436"/>
                <w:sz w:val="15"/>
              </w:rPr>
              <w:t>Decision rule</w:t>
            </w:r>
          </w:p>
        </w:tc>
        <w:tc>
          <w:tcPr>
            <w:tcW w:type="dxa" w:w="8352"/>
            <w:shd w:fill="FFFFFF"/>
            <w:tcMar>
              <w:top w:w="42" w:type="dxa"/>
              <w:start w:w="100" w:type="dxa"/>
              <w:bottom w:w="42" w:type="dxa"/>
              <w:end w:w="100" w:type="dxa"/>
            </w:tcMar>
            <w:vAlign w:val="top"/>
          </w:tcPr>
          <w:p>
            <w:pPr>
              <w:spacing w:after="0" w:line="240" w:lineRule="auto"/>
              <w:keepNext w:val="1"/>
            </w:pPr>
            <w:r>
              <w:rPr>
                <w:sz w:val="15"/>
              </w:rPr>
              <w:t>Proceed, redesign or stop threshold approved before launch.</w:t>
            </w:r>
          </w:p>
        </w:tc>
      </w:tr>
      <w:tr>
        <w:trPr>
          <w:cantSplit w:val="true"/>
          <w:trHeight w:hRule="atLeast"/>
        </w:trPr>
        <w:tc>
          <w:tcPr>
            <w:tcW w:type="dxa" w:w="2088"/>
            <w:shd w:fill="F3F4F4"/>
            <w:tcMar>
              <w:top w:w="42" w:type="dxa"/>
              <w:start w:w="100" w:type="dxa"/>
              <w:bottom w:w="42" w:type="dxa"/>
              <w:end w:w="100" w:type="dxa"/>
            </w:tcMar>
            <w:vAlign w:val="top"/>
          </w:tcPr>
          <w:p>
            <w:pPr>
              <w:spacing w:after="0" w:line="240" w:lineRule="auto"/>
            </w:pPr>
            <w:r>
              <w:rPr>
                <w:b/>
                <w:color w:val="2D3436"/>
                <w:sz w:val="15"/>
              </w:rPr>
              <w:t>Result</w:t>
            </w:r>
          </w:p>
        </w:tc>
        <w:tc>
          <w:tcPr>
            <w:tcW w:type="dxa" w:w="8352"/>
            <w:shd w:fill="F3F4F4"/>
            <w:tcMar>
              <w:top w:w="42" w:type="dxa"/>
              <w:start w:w="100" w:type="dxa"/>
              <w:bottom w:w="42" w:type="dxa"/>
              <w:end w:w="100" w:type="dxa"/>
            </w:tcMar>
            <w:vAlign w:val="top"/>
          </w:tcPr>
          <w:p>
            <w:pPr>
              <w:spacing w:after="0" w:line="240" w:lineRule="auto"/>
            </w:pPr>
            <w:r>
              <w:rPr>
                <w:sz w:val="15"/>
              </w:rPr>
              <w:t>Blank until the pilot reports; never backfill the modelled value as an outcome.</w:t>
            </w:r>
          </w:p>
        </w:tc>
      </w:tr>
    </w:tbl>
    <w:p>
      <w:pPr>
        <w:spacing w:after="0" w:line="40" w:lineRule="exact"/>
      </w:pPr>
      <w:r>
        <w:rPr>
          <w:sz w:val="2"/>
        </w:rPr>
        <w:t xml:space="preserve"> </w:t>
      </w:r>
    </w:p>
    <w:p>
      <w:pPr>
        <w:pStyle w:val="Heading1"/>
        <w:keepNext w:val="1"/>
        <w:keepLines w:val="1"/>
      </w:pPr>
      <w:r>
        <w:t>Page governance</w:t>
      </w:r>
    </w:p>
    <w:p>
      <w:pPr>
        <w:pStyle w:val="ListBullet"/>
        <w:keepLines w:val="1"/>
      </w:pPr>
      <w:r>
        <w:t>Display a reviewed date and accountable content owner on each page.</w:t>
      </w:r>
    </w:p>
    <w:p>
      <w:pPr>
        <w:pStyle w:val="ListBullet"/>
        <w:keepLines w:val="1"/>
      </w:pPr>
      <w:r>
        <w:t>Link every established claim to a primary public source where available.</w:t>
      </w:r>
    </w:p>
    <w:p>
      <w:pPr>
        <w:pStyle w:val="ListBullet"/>
        <w:keepLines w:val="1"/>
      </w:pPr>
      <w:r>
        <w:t>Give modelled figures a Calculation note link adjacent to the figure, not only in a general bibliography.</w:t>
      </w:r>
    </w:p>
    <w:p>
      <w:pPr>
        <w:pStyle w:val="ListBullet"/>
        <w:keepLines w:val="1"/>
      </w:pPr>
      <w:r>
        <w:t>Update legal statements by province before using a page in a municipal proposal.</w:t>
      </w:r>
    </w:p>
    <w:p>
      <w:pPr>
        <w:pStyle w:val="ListBullet"/>
        <w:keepLines w:val="1"/>
      </w:pPr>
      <w:r>
        <w:t>Report failed pilots and adverse results. Evidence discipline is part of the model, not a communications risk to hide.</w:t>
      </w:r>
    </w:p>
    <w:p>
      <w:pPr>
        <w:pStyle w:val="ListBullet"/>
        <w:keepLines w:val="1"/>
      </w:pPr>
      <w:r>
        <w:t>Keep each Autonomy equal in the visual hierarchy even when a municipality is implementing only a subset.</w:t>
      </w:r>
    </w:p>
    <w:p>
      <w:pPr>
        <w:pStyle w:val="Heading1"/>
        <w:keepNext w:val="1"/>
        <w:keepLines w:val="1"/>
      </w:pPr>
      <w:r>
        <w:t>Suggested page metadata</w:t>
      </w:r>
    </w:p>
    <w:tbl>
      <w:tblPr>
        <w:tblStyle w:val="TableGrid"/>
        <w:tblW w:type="auto" w:w="0"/>
        <w:tblLayout w:type="fixed"/>
        <w:tblLook w:firstColumn="1" w:firstRow="1" w:lastColumn="0" w:lastRow="0" w:noHBand="0" w:noVBand="1" w:val="04A0"/>
      </w:tblPr>
      <w:tblGrid>
        <w:gridCol w:w="3331"/>
        <w:gridCol w:w="3331"/>
        <w:gridCol w:w="3331"/>
      </w:tblGrid>
      <w:tr>
        <w:trPr>
          <w:trHeight w:hRule="atLeast"/>
          <w:tblHeader w:val="true"/>
          <w:cantSplit w:val="true"/>
        </w:trPr>
        <w:tc>
          <w:tcPr>
            <w:tcW w:type="dxa" w:w="1440"/>
            <w:shd w:fill="244C5A"/>
            <w:tcMar>
              <w:top w:w="58" w:type="dxa"/>
              <w:start w:w="100" w:type="dxa"/>
              <w:bottom w:w="58" w:type="dxa"/>
              <w:end w:w="100" w:type="dxa"/>
            </w:tcMar>
            <w:vAlign w:val="center"/>
          </w:tcPr>
          <w:p>
            <w:pPr>
              <w:spacing w:after="0"/>
            </w:pPr>
            <w:r>
              <w:rPr>
                <w:b/>
                <w:color w:val="FFFFFF"/>
                <w:sz w:val="16"/>
              </w:rPr>
              <w:t>Page</w:t>
            </w:r>
          </w:p>
        </w:tc>
        <w:tc>
          <w:tcPr>
            <w:tcW w:type="dxa" w:w="3312"/>
            <w:shd w:fill="244C5A"/>
            <w:tcMar>
              <w:top w:w="58" w:type="dxa"/>
              <w:start w:w="100" w:type="dxa"/>
              <w:bottom w:w="58" w:type="dxa"/>
              <w:end w:w="100" w:type="dxa"/>
            </w:tcMar>
            <w:vAlign w:val="center"/>
          </w:tcPr>
          <w:p>
            <w:pPr>
              <w:spacing w:after="0"/>
            </w:pPr>
            <w:r>
              <w:rPr>
                <w:b/>
                <w:color w:val="FFFFFF"/>
                <w:sz w:val="16"/>
              </w:rPr>
              <w:t>SEO title</w:t>
            </w:r>
          </w:p>
        </w:tc>
        <w:tc>
          <w:tcPr>
            <w:tcW w:type="dxa" w:w="5688"/>
            <w:shd w:fill="244C5A"/>
            <w:tcMar>
              <w:top w:w="58" w:type="dxa"/>
              <w:start w:w="100" w:type="dxa"/>
              <w:bottom w:w="58" w:type="dxa"/>
              <w:end w:w="100" w:type="dxa"/>
            </w:tcMar>
            <w:vAlign w:val="center"/>
          </w:tcPr>
          <w:p>
            <w:pPr>
              <w:spacing w:after="0"/>
            </w:pPr>
            <w:r>
              <w:rPr>
                <w:b/>
                <w:color w:val="FFFFFF"/>
                <w:sz w:val="16"/>
              </w:rPr>
              <w:t>Meta description</w:t>
            </w:r>
          </w:p>
        </w:tc>
      </w:tr>
      <w:tr>
        <w:trPr>
          <w:cantSplit w:val="true"/>
          <w:trHeight w:hRule="atLeast"/>
        </w:trPr>
        <w:tc>
          <w:tcPr>
            <w:tcW w:type="dxa" w:w="1440"/>
            <w:shd w:fill="FFFFFF"/>
            <w:tcMar>
              <w:top w:w="42" w:type="dxa"/>
              <w:start w:w="100" w:type="dxa"/>
              <w:bottom w:w="42" w:type="dxa"/>
              <w:end w:w="100" w:type="dxa"/>
            </w:tcMar>
            <w:vAlign w:val="top"/>
          </w:tcPr>
          <w:p>
            <w:pPr>
              <w:spacing w:after="0" w:line="240" w:lineRule="auto"/>
            </w:pPr>
            <w:r>
              <w:rPr>
                <w:b/>
                <w:color w:val="2D3436"/>
                <w:sz w:val="15"/>
              </w:rPr>
              <w:t>Hub</w:t>
            </w:r>
          </w:p>
        </w:tc>
        <w:tc>
          <w:tcPr>
            <w:tcW w:type="dxa" w:w="3312"/>
            <w:shd w:fill="FFFFFF"/>
            <w:tcMar>
              <w:top w:w="42" w:type="dxa"/>
              <w:start w:w="100" w:type="dxa"/>
              <w:bottom w:w="42" w:type="dxa"/>
              <w:end w:w="100" w:type="dxa"/>
            </w:tcMar>
            <w:vAlign w:val="top"/>
          </w:tcPr>
          <w:p>
            <w:pPr>
              <w:spacing w:after="0" w:line="240" w:lineRule="auto"/>
            </w:pPr>
            <w:r>
              <w:rPr>
                <w:sz w:val="15"/>
              </w:rPr>
              <w:t>The Nine Autonomies | CDMM</w:t>
            </w:r>
          </w:p>
        </w:tc>
        <w:tc>
          <w:tcPr>
            <w:tcW w:type="dxa" w:w="5688"/>
            <w:shd w:fill="FFFFFF"/>
            <w:tcMar>
              <w:top w:w="42" w:type="dxa"/>
              <w:start w:w="100" w:type="dxa"/>
              <w:bottom w:w="42" w:type="dxa"/>
              <w:end w:w="100" w:type="dxa"/>
            </w:tcMar>
            <w:vAlign w:val="top"/>
          </w:tcPr>
          <w:p>
            <w:pPr>
              <w:spacing w:after="0" w:line="240" w:lineRule="auto"/>
            </w:pPr>
            <w:r>
              <w:rPr>
                <w:sz w:val="15"/>
              </w:rPr>
              <w:t>The nine CDMM Autonomies define where municipalities can build durable local capacity while respecting provincial and federal responsibilities.</w:t>
            </w:r>
          </w:p>
        </w:tc>
      </w:tr>
      <w:tr>
        <w:trPr>
          <w:cantSplit w:val="true"/>
          <w:trHeight w:hRule="atLeast"/>
        </w:trPr>
        <w:tc>
          <w:tcPr>
            <w:tcW w:type="dxa" w:w="1440"/>
            <w:shd w:fill="F3F4F4"/>
            <w:tcMar>
              <w:top w:w="42" w:type="dxa"/>
              <w:start w:w="100" w:type="dxa"/>
              <w:bottom w:w="42" w:type="dxa"/>
              <w:end w:w="100" w:type="dxa"/>
            </w:tcMar>
            <w:vAlign w:val="top"/>
          </w:tcPr>
          <w:p>
            <w:pPr>
              <w:spacing w:after="0" w:line="240" w:lineRule="auto"/>
            </w:pPr>
            <w:r>
              <w:rPr>
                <w:b/>
                <w:color w:val="2D3436"/>
                <w:sz w:val="15"/>
              </w:rPr>
              <w:t>Housing</w:t>
            </w:r>
          </w:p>
        </w:tc>
        <w:tc>
          <w:tcPr>
            <w:tcW w:type="dxa" w:w="3312"/>
            <w:shd w:fill="F3F4F4"/>
            <w:tcMar>
              <w:top w:w="42" w:type="dxa"/>
              <w:start w:w="100" w:type="dxa"/>
              <w:bottom w:w="42" w:type="dxa"/>
              <w:end w:w="100" w:type="dxa"/>
            </w:tcMar>
            <w:vAlign w:val="top"/>
          </w:tcPr>
          <w:p>
            <w:pPr>
              <w:spacing w:after="0" w:line="240" w:lineRule="auto"/>
            </w:pPr>
            <w:r>
              <w:rPr>
                <w:sz w:val="15"/>
              </w:rPr>
              <w:t>Housing Autonomy | CDMM</w:t>
            </w:r>
          </w:p>
        </w:tc>
        <w:tc>
          <w:tcPr>
            <w:tcW w:type="dxa" w:w="5688"/>
            <w:shd w:fill="F3F4F4"/>
            <w:tcMar>
              <w:top w:w="42" w:type="dxa"/>
              <w:start w:w="100" w:type="dxa"/>
              <w:bottom w:w="42" w:type="dxa"/>
              <w:end w:w="100" w:type="dxa"/>
            </w:tcMar>
            <w:vAlign w:val="top"/>
          </w:tcPr>
          <w:p>
            <w:pPr>
              <w:spacing w:after="0" w:line="240" w:lineRule="auto"/>
            </w:pPr>
            <w:r>
              <w:rPr>
                <w:sz w:val="15"/>
              </w:rPr>
              <w:t>How municipal land, approvals, delivery and tenure can be aligned—and the measures needed to test housing cost, speed and stability.</w:t>
            </w:r>
          </w:p>
        </w:tc>
      </w:tr>
      <w:tr>
        <w:trPr>
          <w:cantSplit w:val="true"/>
          <w:trHeight w:hRule="atLeast"/>
        </w:trPr>
        <w:tc>
          <w:tcPr>
            <w:tcW w:type="dxa" w:w="1440"/>
            <w:shd w:fill="FFFFFF"/>
            <w:tcMar>
              <w:top w:w="42" w:type="dxa"/>
              <w:start w:w="100" w:type="dxa"/>
              <w:bottom w:w="42" w:type="dxa"/>
              <w:end w:w="100" w:type="dxa"/>
            </w:tcMar>
            <w:vAlign w:val="top"/>
          </w:tcPr>
          <w:p>
            <w:pPr>
              <w:spacing w:after="0" w:line="240" w:lineRule="auto"/>
            </w:pPr>
            <w:r>
              <w:rPr>
                <w:b/>
                <w:color w:val="2D3436"/>
                <w:sz w:val="15"/>
              </w:rPr>
              <w:t>Grocery</w:t>
            </w:r>
          </w:p>
        </w:tc>
        <w:tc>
          <w:tcPr>
            <w:tcW w:type="dxa" w:w="3312"/>
            <w:shd w:fill="FFFFFF"/>
            <w:tcMar>
              <w:top w:w="42" w:type="dxa"/>
              <w:start w:w="100" w:type="dxa"/>
              <w:bottom w:w="42" w:type="dxa"/>
              <w:end w:w="100" w:type="dxa"/>
            </w:tcMar>
            <w:vAlign w:val="top"/>
          </w:tcPr>
          <w:p>
            <w:pPr>
              <w:spacing w:after="0" w:line="240" w:lineRule="auto"/>
            </w:pPr>
            <w:r>
              <w:rPr>
                <w:sz w:val="15"/>
              </w:rPr>
              <w:t>Municipal Grocery Autonomy | CDMM</w:t>
            </w:r>
          </w:p>
        </w:tc>
        <w:tc>
          <w:tcPr>
            <w:tcW w:type="dxa" w:w="5688"/>
            <w:shd w:fill="FFFFFF"/>
            <w:tcMar>
              <w:top w:w="42" w:type="dxa"/>
              <w:start w:w="100" w:type="dxa"/>
              <w:bottom w:w="42" w:type="dxa"/>
              <w:end w:w="100" w:type="dxa"/>
            </w:tcMar>
            <w:vAlign w:val="top"/>
          </w:tcPr>
          <w:p>
            <w:pPr>
              <w:spacing w:after="0" w:line="240" w:lineRule="auto"/>
            </w:pPr>
            <w:r>
              <w:rPr>
                <w:sz w:val="15"/>
              </w:rPr>
              <w:t>A measurable municipal grocery model linking procurement, producers, distribution, food access and transparent operating accounts.</w:t>
            </w:r>
          </w:p>
        </w:tc>
      </w:tr>
      <w:tr>
        <w:trPr>
          <w:cantSplit w:val="true"/>
          <w:trHeight w:hRule="atLeast"/>
        </w:trPr>
        <w:tc>
          <w:tcPr>
            <w:tcW w:type="dxa" w:w="1440"/>
            <w:shd w:fill="F3F4F4"/>
            <w:tcMar>
              <w:top w:w="42" w:type="dxa"/>
              <w:start w:w="100" w:type="dxa"/>
              <w:bottom w:w="42" w:type="dxa"/>
              <w:end w:w="100" w:type="dxa"/>
            </w:tcMar>
            <w:vAlign w:val="top"/>
          </w:tcPr>
          <w:p>
            <w:pPr>
              <w:spacing w:after="0" w:line="240" w:lineRule="auto"/>
            </w:pPr>
            <w:r>
              <w:rPr>
                <w:b/>
                <w:color w:val="2D3436"/>
                <w:sz w:val="15"/>
              </w:rPr>
              <w:t>Fuel</w:t>
            </w:r>
          </w:p>
        </w:tc>
        <w:tc>
          <w:tcPr>
            <w:tcW w:type="dxa" w:w="3312"/>
            <w:shd w:fill="F3F4F4"/>
            <w:tcMar>
              <w:top w:w="42" w:type="dxa"/>
              <w:start w:w="100" w:type="dxa"/>
              <w:bottom w:w="42" w:type="dxa"/>
              <w:end w:w="100" w:type="dxa"/>
            </w:tcMar>
            <w:vAlign w:val="top"/>
          </w:tcPr>
          <w:p>
            <w:pPr>
              <w:spacing w:after="0" w:line="240" w:lineRule="auto"/>
            </w:pPr>
            <w:r>
              <w:rPr>
                <w:sz w:val="15"/>
              </w:rPr>
              <w:t>Fuel Autonomy | CDMM</w:t>
            </w:r>
          </w:p>
        </w:tc>
        <w:tc>
          <w:tcPr>
            <w:tcW w:type="dxa" w:w="5688"/>
            <w:shd w:fill="F3F4F4"/>
            <w:tcMar>
              <w:top w:w="42" w:type="dxa"/>
              <w:start w:w="100" w:type="dxa"/>
              <w:bottom w:w="42" w:type="dxa"/>
              <w:end w:w="100" w:type="dxa"/>
            </w:tcMar>
            <w:vAlign w:val="top"/>
          </w:tcPr>
          <w:p>
            <w:pPr>
              <w:spacing w:after="0" w:line="240" w:lineRule="auto"/>
            </w:pPr>
            <w:r>
              <w:rPr>
                <w:sz w:val="15"/>
              </w:rPr>
              <w:t>How municipalities can test fuel-demand aggregation, supply resilience and lawful distribution against full cost and safety measures.</w:t>
            </w:r>
          </w:p>
        </w:tc>
      </w:tr>
      <w:tr>
        <w:trPr>
          <w:cantSplit w:val="true"/>
          <w:trHeight w:hRule="atLeast"/>
        </w:trPr>
        <w:tc>
          <w:tcPr>
            <w:tcW w:type="dxa" w:w="1440"/>
            <w:shd w:fill="FFFFFF"/>
            <w:tcMar>
              <w:top w:w="42" w:type="dxa"/>
              <w:start w:w="100" w:type="dxa"/>
              <w:bottom w:w="42" w:type="dxa"/>
              <w:end w:w="100" w:type="dxa"/>
            </w:tcMar>
            <w:vAlign w:val="top"/>
          </w:tcPr>
          <w:p>
            <w:pPr>
              <w:spacing w:after="0" w:line="240" w:lineRule="auto"/>
            </w:pPr>
            <w:r>
              <w:rPr>
                <w:b/>
                <w:color w:val="2D3436"/>
                <w:sz w:val="15"/>
              </w:rPr>
              <w:t>Healthcare</w:t>
            </w:r>
          </w:p>
        </w:tc>
        <w:tc>
          <w:tcPr>
            <w:tcW w:type="dxa" w:w="3312"/>
            <w:shd w:fill="FFFFFF"/>
            <w:tcMar>
              <w:top w:w="42" w:type="dxa"/>
              <w:start w:w="100" w:type="dxa"/>
              <w:bottom w:w="42" w:type="dxa"/>
              <w:end w:w="100" w:type="dxa"/>
            </w:tcMar>
            <w:vAlign w:val="top"/>
          </w:tcPr>
          <w:p>
            <w:pPr>
              <w:spacing w:after="0" w:line="240" w:lineRule="auto"/>
            </w:pPr>
            <w:r>
              <w:rPr>
                <w:sz w:val="15"/>
              </w:rPr>
              <w:t>Healthcare Autonomy | CDMM</w:t>
            </w:r>
          </w:p>
        </w:tc>
        <w:tc>
          <w:tcPr>
            <w:tcW w:type="dxa" w:w="5688"/>
            <w:shd w:fill="FFFFFF"/>
            <w:tcMar>
              <w:top w:w="42" w:type="dxa"/>
              <w:start w:w="100" w:type="dxa"/>
              <w:bottom w:w="42" w:type="dxa"/>
              <w:end w:w="100" w:type="dxa"/>
            </w:tcMar>
            <w:vAlign w:val="top"/>
          </w:tcPr>
          <w:p>
            <w:pPr>
              <w:spacing w:after="0" w:line="240" w:lineRule="auto"/>
            </w:pPr>
            <w:r>
              <w:rPr>
                <w:sz w:val="15"/>
              </w:rPr>
              <w:t>A framework for local facilities and access coordination under provincial funding, law, clinical standards and oversight.</w:t>
            </w:r>
          </w:p>
        </w:tc>
      </w:tr>
      <w:tr>
        <w:trPr>
          <w:cantSplit w:val="true"/>
          <w:trHeight w:hRule="atLeast"/>
        </w:trPr>
        <w:tc>
          <w:tcPr>
            <w:tcW w:type="dxa" w:w="1440"/>
            <w:shd w:fill="F3F4F4"/>
            <w:tcMar>
              <w:top w:w="42" w:type="dxa"/>
              <w:start w:w="100" w:type="dxa"/>
              <w:bottom w:w="42" w:type="dxa"/>
              <w:end w:w="100" w:type="dxa"/>
            </w:tcMar>
            <w:vAlign w:val="top"/>
          </w:tcPr>
          <w:p>
            <w:pPr>
              <w:spacing w:after="0" w:line="240" w:lineRule="auto"/>
            </w:pPr>
            <w:r>
              <w:rPr>
                <w:b/>
                <w:color w:val="2D3436"/>
                <w:sz w:val="15"/>
              </w:rPr>
              <w:t>Transportation</w:t>
            </w:r>
          </w:p>
        </w:tc>
        <w:tc>
          <w:tcPr>
            <w:tcW w:type="dxa" w:w="3312"/>
            <w:shd w:fill="F3F4F4"/>
            <w:tcMar>
              <w:top w:w="42" w:type="dxa"/>
              <w:start w:w="100" w:type="dxa"/>
              <w:bottom w:w="42" w:type="dxa"/>
              <w:end w:w="100" w:type="dxa"/>
            </w:tcMar>
            <w:vAlign w:val="top"/>
          </w:tcPr>
          <w:p>
            <w:pPr>
              <w:spacing w:after="0" w:line="240" w:lineRule="auto"/>
            </w:pPr>
            <w:r>
              <w:rPr>
                <w:sz w:val="15"/>
              </w:rPr>
              <w:t>Transportation Autonomy | CDMM</w:t>
            </w:r>
          </w:p>
        </w:tc>
        <w:tc>
          <w:tcPr>
            <w:tcW w:type="dxa" w:w="5688"/>
            <w:shd w:fill="F3F4F4"/>
            <w:tcMar>
              <w:top w:w="42" w:type="dxa"/>
              <w:start w:w="100" w:type="dxa"/>
              <w:bottom w:w="42" w:type="dxa"/>
              <w:end w:w="100" w:type="dxa"/>
            </w:tcMar>
            <w:vAlign w:val="top"/>
          </w:tcPr>
          <w:p>
            <w:pPr>
              <w:spacing w:after="0" w:line="240" w:lineRule="auto"/>
            </w:pPr>
            <w:r>
              <w:rPr>
                <w:sz w:val="15"/>
              </w:rPr>
              <w:t>A measurable mobility framework connecting residents to housing, work, food, healthcare and training.</w:t>
            </w:r>
          </w:p>
        </w:tc>
      </w:tr>
      <w:tr>
        <w:trPr>
          <w:cantSplit w:val="true"/>
          <w:trHeight w:hRule="atLeast"/>
        </w:trPr>
        <w:tc>
          <w:tcPr>
            <w:tcW w:type="dxa" w:w="1440"/>
            <w:shd w:fill="FFFFFF"/>
            <w:tcMar>
              <w:top w:w="42" w:type="dxa"/>
              <w:start w:w="100" w:type="dxa"/>
              <w:bottom w:w="42" w:type="dxa"/>
              <w:end w:w="100" w:type="dxa"/>
            </w:tcMar>
            <w:vAlign w:val="top"/>
          </w:tcPr>
          <w:p>
            <w:pPr>
              <w:spacing w:after="0" w:line="240" w:lineRule="auto"/>
            </w:pPr>
            <w:r>
              <w:rPr>
                <w:b/>
                <w:color w:val="2D3436"/>
                <w:sz w:val="15"/>
              </w:rPr>
              <w:t>Workforce</w:t>
            </w:r>
          </w:p>
        </w:tc>
        <w:tc>
          <w:tcPr>
            <w:tcW w:type="dxa" w:w="3312"/>
            <w:shd w:fill="FFFFFF"/>
            <w:tcMar>
              <w:top w:w="42" w:type="dxa"/>
              <w:start w:w="100" w:type="dxa"/>
              <w:bottom w:w="42" w:type="dxa"/>
              <w:end w:w="100" w:type="dxa"/>
            </w:tcMar>
            <w:vAlign w:val="top"/>
          </w:tcPr>
          <w:p>
            <w:pPr>
              <w:spacing w:after="0" w:line="240" w:lineRule="auto"/>
            </w:pPr>
            <w:r>
              <w:rPr>
                <w:sz w:val="15"/>
              </w:rPr>
              <w:t>Workforce &amp; Skills Autonomy | CDMM</w:t>
            </w:r>
          </w:p>
        </w:tc>
        <w:tc>
          <w:tcPr>
            <w:tcW w:type="dxa" w:w="5688"/>
            <w:shd w:fill="FFFFFF"/>
            <w:tcMar>
              <w:top w:w="42" w:type="dxa"/>
              <w:start w:w="100" w:type="dxa"/>
              <w:bottom w:w="42" w:type="dxa"/>
              <w:end w:w="100" w:type="dxa"/>
            </w:tcMar>
            <w:vAlign w:val="top"/>
          </w:tcPr>
          <w:p>
            <w:pPr>
              <w:spacing w:after="0" w:line="240" w:lineRule="auto"/>
            </w:pPr>
            <w:r>
              <w:rPr>
                <w:sz w:val="15"/>
              </w:rPr>
              <w:t>How funded municipal demand can be translated into recognized training, employment and long-term local retention.</w:t>
            </w:r>
          </w:p>
        </w:tc>
      </w:tr>
      <w:tr>
        <w:trPr>
          <w:cantSplit w:val="true"/>
          <w:trHeight w:hRule="atLeast"/>
        </w:trPr>
        <w:tc>
          <w:tcPr>
            <w:tcW w:type="dxa" w:w="1440"/>
            <w:shd w:fill="F3F4F4"/>
            <w:tcMar>
              <w:top w:w="42" w:type="dxa"/>
              <w:start w:w="100" w:type="dxa"/>
              <w:bottom w:w="42" w:type="dxa"/>
              <w:end w:w="100" w:type="dxa"/>
            </w:tcMar>
            <w:vAlign w:val="top"/>
          </w:tcPr>
          <w:p>
            <w:pPr>
              <w:spacing w:after="0" w:line="240" w:lineRule="auto"/>
            </w:pPr>
            <w:r>
              <w:rPr>
                <w:b/>
                <w:color w:val="2D3436"/>
                <w:sz w:val="15"/>
              </w:rPr>
              <w:t>Resources</w:t>
            </w:r>
          </w:p>
        </w:tc>
        <w:tc>
          <w:tcPr>
            <w:tcW w:type="dxa" w:w="3312"/>
            <w:shd w:fill="F3F4F4"/>
            <w:tcMar>
              <w:top w:w="42" w:type="dxa"/>
              <w:start w:w="100" w:type="dxa"/>
              <w:bottom w:w="42" w:type="dxa"/>
              <w:end w:w="100" w:type="dxa"/>
            </w:tcMar>
            <w:vAlign w:val="top"/>
          </w:tcPr>
          <w:p>
            <w:pPr>
              <w:spacing w:after="0" w:line="240" w:lineRule="auto"/>
            </w:pPr>
            <w:r>
              <w:rPr>
                <w:sz w:val="15"/>
              </w:rPr>
              <w:t>Resource Development Autonomy | CDMM</w:t>
            </w:r>
          </w:p>
        </w:tc>
        <w:tc>
          <w:tcPr>
            <w:tcW w:type="dxa" w:w="5688"/>
            <w:shd w:fill="F3F4F4"/>
            <w:tcMar>
              <w:top w:w="42" w:type="dxa"/>
              <w:start w:w="100" w:type="dxa"/>
              <w:bottom w:w="42" w:type="dxa"/>
              <w:end w:w="100" w:type="dxa"/>
            </w:tcMar>
            <w:vAlign w:val="top"/>
          </w:tcPr>
          <w:p>
            <w:pPr>
              <w:spacing w:after="0" w:line="240" w:lineRule="auto"/>
            </w:pPr>
            <w:r>
              <w:rPr>
                <w:sz w:val="15"/>
              </w:rPr>
              <w:t>A framework for water-system stewardship and lawful natural-resource participation with lifecycle risk and rights made visible.</w:t>
            </w:r>
          </w:p>
        </w:tc>
      </w:tr>
      <w:tr>
        <w:trPr>
          <w:cantSplit w:val="true"/>
          <w:trHeight w:hRule="atLeast"/>
        </w:trPr>
        <w:tc>
          <w:tcPr>
            <w:tcW w:type="dxa" w:w="1440"/>
            <w:shd w:fill="FFFFFF"/>
            <w:tcMar>
              <w:top w:w="42" w:type="dxa"/>
              <w:start w:w="100" w:type="dxa"/>
              <w:bottom w:w="42" w:type="dxa"/>
              <w:end w:w="100" w:type="dxa"/>
            </w:tcMar>
            <w:vAlign w:val="top"/>
          </w:tcPr>
          <w:p>
            <w:pPr>
              <w:spacing w:after="0" w:line="240" w:lineRule="auto"/>
            </w:pPr>
            <w:r>
              <w:rPr>
                <w:b/>
                <w:color w:val="2D3436"/>
                <w:sz w:val="15"/>
              </w:rPr>
              <w:t>Energy</w:t>
            </w:r>
          </w:p>
        </w:tc>
        <w:tc>
          <w:tcPr>
            <w:tcW w:type="dxa" w:w="3312"/>
            <w:shd w:fill="FFFFFF"/>
            <w:tcMar>
              <w:top w:w="42" w:type="dxa"/>
              <w:start w:w="100" w:type="dxa"/>
              <w:bottom w:w="42" w:type="dxa"/>
              <w:end w:w="100" w:type="dxa"/>
            </w:tcMar>
            <w:vAlign w:val="top"/>
          </w:tcPr>
          <w:p>
            <w:pPr>
              <w:spacing w:after="0" w:line="240" w:lineRule="auto"/>
            </w:pPr>
            <w:r>
              <w:rPr>
                <w:sz w:val="15"/>
              </w:rPr>
              <w:t>Energy Autonomy | CDMM</w:t>
            </w:r>
          </w:p>
        </w:tc>
        <w:tc>
          <w:tcPr>
            <w:tcW w:type="dxa" w:w="5688"/>
            <w:shd w:fill="FFFFFF"/>
            <w:tcMar>
              <w:top w:w="42" w:type="dxa"/>
              <w:start w:w="100" w:type="dxa"/>
              <w:bottom w:w="42" w:type="dxa"/>
              <w:end w:w="100" w:type="dxa"/>
            </w:tcMar>
            <w:vAlign w:val="top"/>
          </w:tcPr>
          <w:p>
            <w:pPr>
              <w:spacing w:after="0" w:line="240" w:lineRule="auto"/>
            </w:pPr>
            <w:r>
              <w:rPr>
                <w:sz w:val="15"/>
              </w:rPr>
              <w:t>How efficiency, procurement, generation and storage can be tested for lifecycle cost, resilience and accountable performance.</w:t>
            </w:r>
          </w:p>
        </w:tc>
      </w:tr>
      <w:tr>
        <w:trPr>
          <w:cantSplit w:val="true"/>
          <w:trHeight w:hRule="atLeast"/>
        </w:trPr>
        <w:tc>
          <w:tcPr>
            <w:tcW w:type="dxa" w:w="1440"/>
            <w:shd w:fill="F3F4F4"/>
            <w:tcMar>
              <w:top w:w="42" w:type="dxa"/>
              <w:start w:w="100" w:type="dxa"/>
              <w:bottom w:w="42" w:type="dxa"/>
              <w:end w:w="100" w:type="dxa"/>
            </w:tcMar>
            <w:vAlign w:val="top"/>
          </w:tcPr>
          <w:p>
            <w:pPr>
              <w:spacing w:after="0" w:line="240" w:lineRule="auto"/>
            </w:pPr>
            <w:r>
              <w:rPr>
                <w:b/>
                <w:color w:val="2D3436"/>
                <w:sz w:val="15"/>
              </w:rPr>
              <w:t>Digital</w:t>
            </w:r>
          </w:p>
        </w:tc>
        <w:tc>
          <w:tcPr>
            <w:tcW w:type="dxa" w:w="3312"/>
            <w:shd w:fill="F3F4F4"/>
            <w:tcMar>
              <w:top w:w="42" w:type="dxa"/>
              <w:start w:w="100" w:type="dxa"/>
              <w:bottom w:w="42" w:type="dxa"/>
              <w:end w:w="100" w:type="dxa"/>
            </w:tcMar>
            <w:vAlign w:val="top"/>
          </w:tcPr>
          <w:p>
            <w:pPr>
              <w:spacing w:after="0" w:line="240" w:lineRule="auto"/>
            </w:pPr>
            <w:r>
              <w:rPr>
                <w:sz w:val="15"/>
              </w:rPr>
              <w:t>Digital &amp; Communications Autonomy | CDMM</w:t>
            </w:r>
          </w:p>
        </w:tc>
        <w:tc>
          <w:tcPr>
            <w:tcW w:type="dxa" w:w="5688"/>
            <w:shd w:fill="F3F4F4"/>
            <w:tcMar>
              <w:top w:w="42" w:type="dxa"/>
              <w:start w:w="100" w:type="dxa"/>
              <w:bottom w:w="42" w:type="dxa"/>
              <w:end w:w="100" w:type="dxa"/>
            </w:tcMar>
            <w:vAlign w:val="top"/>
          </w:tcPr>
          <w:p>
            <w:pPr>
              <w:spacing w:after="0" w:line="240" w:lineRule="auto"/>
            </w:pPr>
            <w:r>
              <w:rPr>
                <w:sz w:val="15"/>
              </w:rPr>
              <w:t>How municipalities can close connectivity gaps through infrastructure coordination, partnerships and measurable service standards.</w:t>
            </w:r>
          </w:p>
        </w:tc>
      </w:tr>
    </w:tbl>
    <w:p>
      <w:pPr>
        <w:spacing w:after="0" w:line="40" w:lineRule="exact"/>
      </w:pPr>
      <w:r>
        <w:rPr>
          <w:sz w:val="2"/>
        </w:rPr>
        <w:t xml:space="preserve"> </w:t>
      </w:r>
    </w:p>
    <w:p>
      <w:r>
        <w:br w:type="page"/>
      </w:r>
    </w:p>
    <w:p>
      <w:pPr>
        <w:pStyle w:val="Kicker"/>
        <w:keepNext w:val="1"/>
        <w:keepLines w:val="1"/>
      </w:pPr>
      <w:r>
        <w:t>IMPLEMENTATION CHECKLIST</w:t>
      </w:r>
    </w:p>
    <w:p>
      <w:pPr>
        <w:pStyle w:val="TitlePage"/>
        <w:keepNext w:val="1"/>
        <w:keepLines w:val="1"/>
      </w:pPr>
      <w:bookmarkStart w:id="886903" w:name="qa"/>
      <w:bookmarkEnd w:id="886903"/>
      <w:r>
        <w:t>Publication quality control</w:t>
      </w:r>
    </w:p>
    <w:p>
      <w:pPr>
        <w:pStyle w:val="BodyText"/>
      </w:pPr>
      <w:r>
        <w:t>Use this checklist before each page is published. A page is not complete because all headings are filled; it is complete when a reader can distinguish authority, mechanism, measurement and uncertainty.</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1800"/>
            <w:shd w:fill="244C5A"/>
            <w:tcMar>
              <w:top w:w="58" w:type="dxa"/>
              <w:start w:w="100" w:type="dxa"/>
              <w:bottom w:w="58" w:type="dxa"/>
              <w:end w:w="100" w:type="dxa"/>
            </w:tcMar>
            <w:vAlign w:val="center"/>
          </w:tcPr>
          <w:p>
            <w:pPr>
              <w:spacing w:after="0"/>
            </w:pPr>
            <w:r>
              <w:rPr>
                <w:b/>
                <w:color w:val="FFFFFF"/>
                <w:sz w:val="16"/>
              </w:rPr>
              <w:t>Check</w:t>
            </w:r>
          </w:p>
        </w:tc>
        <w:tc>
          <w:tcPr>
            <w:tcW w:type="dxa" w:w="8640"/>
            <w:shd w:fill="244C5A"/>
            <w:tcMar>
              <w:top w:w="58" w:type="dxa"/>
              <w:start w:w="100" w:type="dxa"/>
              <w:bottom w:w="58" w:type="dxa"/>
              <w:end w:w="100" w:type="dxa"/>
            </w:tcMar>
            <w:vAlign w:val="center"/>
          </w:tcPr>
          <w:p>
            <w:pPr>
              <w:spacing w:after="0"/>
            </w:pPr>
            <w:r>
              <w:rPr>
                <w:b/>
                <w:color w:val="FFFFFF"/>
                <w:sz w:val="16"/>
              </w:rPr>
              <w:t>Pass condition</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pPr>
            <w:r>
              <w:rPr>
                <w:b/>
                <w:color w:val="2D3436"/>
                <w:sz w:val="15"/>
              </w:rPr>
              <w:t>Name</w:t>
            </w:r>
          </w:p>
        </w:tc>
        <w:tc>
          <w:tcPr>
            <w:tcW w:type="dxa" w:w="8640"/>
            <w:shd w:fill="FFFFFF"/>
            <w:tcMar>
              <w:top w:w="42" w:type="dxa"/>
              <w:start w:w="100" w:type="dxa"/>
              <w:bottom w:w="42" w:type="dxa"/>
              <w:end w:w="100" w:type="dxa"/>
            </w:tcMar>
            <w:vAlign w:val="top"/>
          </w:tcPr>
          <w:p>
            <w:pPr>
              <w:spacing w:after="0" w:line="240" w:lineRule="auto"/>
            </w:pPr>
            <w:r>
              <w:rPr>
                <w:sz w:val="15"/>
              </w:rPr>
              <w:t>Uses the exact fixed Autonomy name; no field is split, merged or renamed.</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Definition</w:t>
            </w:r>
          </w:p>
        </w:tc>
        <w:tc>
          <w:tcPr>
            <w:tcW w:type="dxa" w:w="8640"/>
            <w:shd w:fill="F3F4F4"/>
            <w:tcMar>
              <w:top w:w="42" w:type="dxa"/>
              <w:start w:w="100" w:type="dxa"/>
              <w:bottom w:w="42" w:type="dxa"/>
              <w:end w:w="100" w:type="dxa"/>
            </w:tcMar>
            <w:vAlign w:val="top"/>
          </w:tcPr>
          <w:p>
            <w:pPr>
              <w:spacing w:after="0" w:line="240" w:lineRule="auto"/>
            </w:pPr>
            <w:r>
              <w:rPr>
                <w:sz w:val="15"/>
              </w:rPr>
              <w:t>Describes a municipal capability and does not imply constitutional independence.</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pPr>
            <w:r>
              <w:rPr>
                <w:b/>
                <w:color w:val="2D3436"/>
                <w:sz w:val="15"/>
              </w:rPr>
              <w:t>Purpose</w:t>
            </w:r>
          </w:p>
        </w:tc>
        <w:tc>
          <w:tcPr>
            <w:tcW w:type="dxa" w:w="8640"/>
            <w:shd w:fill="FFFFFF"/>
            <w:tcMar>
              <w:top w:w="42" w:type="dxa"/>
              <w:start w:w="100" w:type="dxa"/>
              <w:bottom w:w="42" w:type="dxa"/>
              <w:end w:w="100" w:type="dxa"/>
            </w:tcMar>
            <w:vAlign w:val="top"/>
          </w:tcPr>
          <w:p>
            <w:pPr>
              <w:spacing w:after="0" w:line="240" w:lineRule="auto"/>
            </w:pPr>
            <w:r>
              <w:rPr>
                <w:sz w:val="15"/>
              </w:rPr>
              <w:t>Explains the problem and the mechanism, including why municipal action might add value.</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Boundary</w:t>
            </w:r>
          </w:p>
        </w:tc>
        <w:tc>
          <w:tcPr>
            <w:tcW w:type="dxa" w:w="8640"/>
            <w:shd w:fill="F3F4F4"/>
            <w:tcMar>
              <w:top w:w="42" w:type="dxa"/>
              <w:start w:w="100" w:type="dxa"/>
              <w:bottom w:w="42" w:type="dxa"/>
              <w:end w:w="100" w:type="dxa"/>
            </w:tcMar>
            <w:vAlign w:val="top"/>
          </w:tcPr>
          <w:p>
            <w:pPr>
              <w:spacing w:after="0" w:line="240" w:lineRule="auto"/>
            </w:pPr>
            <w:r>
              <w:rPr>
                <w:sz w:val="15"/>
              </w:rPr>
              <w:t>States what belongs elsewhere and which provincial, federal, Indigenous, private and professional roles remain.</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pPr>
            <w:r>
              <w:rPr>
                <w:b/>
                <w:color w:val="2D3436"/>
                <w:sz w:val="15"/>
              </w:rPr>
              <w:t>Connections</w:t>
            </w:r>
          </w:p>
        </w:tc>
        <w:tc>
          <w:tcPr>
            <w:tcW w:type="dxa" w:w="8640"/>
            <w:shd w:fill="FFFFFF"/>
            <w:tcMar>
              <w:top w:w="42" w:type="dxa"/>
              <w:start w:w="100" w:type="dxa"/>
              <w:bottom w:w="42" w:type="dxa"/>
              <w:end w:w="100" w:type="dxa"/>
            </w:tcMar>
            <w:vAlign w:val="top"/>
          </w:tcPr>
          <w:p>
            <w:pPr>
              <w:spacing w:after="0" w:line="240" w:lineRule="auto"/>
            </w:pPr>
            <w:r>
              <w:rPr>
                <w:sz w:val="15"/>
              </w:rPr>
              <w:t>Names concrete inputs, schedules or shared measures linking the field to the other Autonomies.</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Options</w:t>
            </w:r>
          </w:p>
        </w:tc>
        <w:tc>
          <w:tcPr>
            <w:tcW w:type="dxa" w:w="8640"/>
            <w:shd w:fill="F3F4F4"/>
            <w:tcMar>
              <w:top w:w="42" w:type="dxa"/>
              <w:start w:w="100" w:type="dxa"/>
              <w:bottom w:w="42" w:type="dxa"/>
              <w:end w:w="100" w:type="dxa"/>
            </w:tcMar>
            <w:vAlign w:val="top"/>
          </w:tcPr>
          <w:p>
            <w:pPr>
              <w:spacing w:after="0" w:line="240" w:lineRule="auto"/>
            </w:pPr>
            <w:r>
              <w:rPr>
                <w:sz w:val="15"/>
              </w:rPr>
              <w:t>Compares ownership, procurement, partnership and no-build alternatives where relevant.</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pPr>
            <w:r>
              <w:rPr>
                <w:b/>
                <w:color w:val="2D3436"/>
                <w:sz w:val="15"/>
              </w:rPr>
              <w:t>Measures</w:t>
            </w:r>
          </w:p>
        </w:tc>
        <w:tc>
          <w:tcPr>
            <w:tcW w:type="dxa" w:w="8640"/>
            <w:shd w:fill="FFFFFF"/>
            <w:tcMar>
              <w:top w:w="42" w:type="dxa"/>
              <w:start w:w="100" w:type="dxa"/>
              <w:bottom w:w="42" w:type="dxa"/>
              <w:end w:w="100" w:type="dxa"/>
            </w:tcMar>
            <w:vAlign w:val="top"/>
          </w:tcPr>
          <w:p>
            <w:pPr>
              <w:spacing w:after="0" w:line="240" w:lineRule="auto"/>
            </w:pPr>
            <w:r>
              <w:rPr>
                <w:sz w:val="15"/>
              </w:rPr>
              <w:t>Provides unit, denominator, baseline, frequency and interpretation; avoids activity counts as outcomes.</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Evidence</w:t>
            </w:r>
          </w:p>
        </w:tc>
        <w:tc>
          <w:tcPr>
            <w:tcW w:type="dxa" w:w="8640"/>
            <w:shd w:fill="F3F4F4"/>
            <w:tcMar>
              <w:top w:w="42" w:type="dxa"/>
              <w:start w:w="100" w:type="dxa"/>
              <w:bottom w:w="42" w:type="dxa"/>
              <w:end w:w="100" w:type="dxa"/>
            </w:tcMar>
            <w:vAlign w:val="top"/>
          </w:tcPr>
          <w:p>
            <w:pPr>
              <w:spacing w:after="0" w:line="240" w:lineRule="auto"/>
            </w:pPr>
            <w:r>
              <w:rPr>
                <w:sz w:val="15"/>
              </w:rPr>
              <w:t>Separates established evidence, local data requirements, scenarios and non-claims.</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pPr>
            <w:r>
              <w:rPr>
                <w:b/>
                <w:color w:val="2D3436"/>
                <w:sz w:val="15"/>
              </w:rPr>
              <w:t>Numbers</w:t>
            </w:r>
          </w:p>
        </w:tc>
        <w:tc>
          <w:tcPr>
            <w:tcW w:type="dxa" w:w="8640"/>
            <w:shd w:fill="FFFFFF"/>
            <w:tcMar>
              <w:top w:w="42" w:type="dxa"/>
              <w:start w:w="100" w:type="dxa"/>
              <w:bottom w:w="42" w:type="dxa"/>
              <w:end w:w="100" w:type="dxa"/>
            </w:tcMar>
            <w:vAlign w:val="top"/>
          </w:tcPr>
          <w:p>
            <w:pPr>
              <w:spacing w:after="0" w:line="240" w:lineRule="auto"/>
            </w:pPr>
            <w:r>
              <w:rPr>
                <w:sz w:val="15"/>
              </w:rPr>
              <w:t>Links every range or forecast to assumptions, full costs and sensitivity.</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Risk</w:t>
            </w:r>
          </w:p>
        </w:tc>
        <w:tc>
          <w:tcPr>
            <w:tcW w:type="dxa" w:w="8640"/>
            <w:shd w:fill="F3F4F4"/>
            <w:tcMar>
              <w:top w:w="42" w:type="dxa"/>
              <w:start w:w="100" w:type="dxa"/>
              <w:bottom w:w="42" w:type="dxa"/>
              <w:end w:w="100" w:type="dxa"/>
            </w:tcMar>
            <w:vAlign w:val="top"/>
          </w:tcPr>
          <w:p>
            <w:pPr>
              <w:spacing w:after="0" w:line="240" w:lineRule="auto"/>
            </w:pPr>
            <w:r>
              <w:rPr>
                <w:sz w:val="15"/>
              </w:rPr>
              <w:t>Names material financial, legal, safety, environmental, equity and governance risks with controls.</w:t>
            </w:r>
          </w:p>
        </w:tc>
      </w:tr>
      <w:tr>
        <w:trPr>
          <w:cantSplit w:val="true"/>
          <w:trHeight w:hRule="atLeast"/>
        </w:trPr>
        <w:tc>
          <w:tcPr>
            <w:tcW w:type="dxa" w:w="1800"/>
            <w:shd w:fill="FFFFFF"/>
            <w:tcMar>
              <w:top w:w="42" w:type="dxa"/>
              <w:start w:w="100" w:type="dxa"/>
              <w:bottom w:w="42" w:type="dxa"/>
              <w:end w:w="100" w:type="dxa"/>
            </w:tcMar>
            <w:vAlign w:val="top"/>
          </w:tcPr>
          <w:p>
            <w:pPr>
              <w:spacing w:after="0" w:line="240" w:lineRule="auto"/>
            </w:pPr>
            <w:r>
              <w:rPr>
                <w:b/>
                <w:color w:val="2D3436"/>
                <w:sz w:val="15"/>
              </w:rPr>
              <w:t>Decision</w:t>
            </w:r>
          </w:p>
        </w:tc>
        <w:tc>
          <w:tcPr>
            <w:tcW w:type="dxa" w:w="8640"/>
            <w:shd w:fill="FFFFFF"/>
            <w:tcMar>
              <w:top w:w="42" w:type="dxa"/>
              <w:start w:w="100" w:type="dxa"/>
              <w:bottom w:w="42" w:type="dxa"/>
              <w:end w:w="100" w:type="dxa"/>
            </w:tcMar>
            <w:vAlign w:val="top"/>
          </w:tcPr>
          <w:p>
            <w:pPr>
              <w:spacing w:after="0" w:line="240" w:lineRule="auto"/>
            </w:pPr>
            <w:r>
              <w:rPr>
                <w:sz w:val="15"/>
              </w:rPr>
              <w:t>Includes proceed, redesign, scale and stop thresholds before a pilot begins.</w:t>
            </w:r>
          </w:p>
        </w:tc>
      </w:tr>
      <w:tr>
        <w:trPr>
          <w:cantSplit w:val="true"/>
          <w:trHeight w:hRule="atLeast"/>
        </w:trPr>
        <w:tc>
          <w:tcPr>
            <w:tcW w:type="dxa" w:w="1800"/>
            <w:shd w:fill="F3F4F4"/>
            <w:tcMar>
              <w:top w:w="42" w:type="dxa"/>
              <w:start w:w="100" w:type="dxa"/>
              <w:bottom w:w="42" w:type="dxa"/>
              <w:end w:w="100" w:type="dxa"/>
            </w:tcMar>
            <w:vAlign w:val="top"/>
          </w:tcPr>
          <w:p>
            <w:pPr>
              <w:spacing w:after="0" w:line="240" w:lineRule="auto"/>
            </w:pPr>
            <w:r>
              <w:rPr>
                <w:b/>
                <w:color w:val="2D3436"/>
                <w:sz w:val="15"/>
              </w:rPr>
              <w:t>Review</w:t>
            </w:r>
          </w:p>
        </w:tc>
        <w:tc>
          <w:tcPr>
            <w:tcW w:type="dxa" w:w="8640"/>
            <w:shd w:fill="F3F4F4"/>
            <w:tcMar>
              <w:top w:w="42" w:type="dxa"/>
              <w:start w:w="100" w:type="dxa"/>
              <w:bottom w:w="42" w:type="dxa"/>
              <w:end w:w="100" w:type="dxa"/>
            </w:tcMar>
            <w:vAlign w:val="top"/>
          </w:tcPr>
          <w:p>
            <w:pPr>
              <w:spacing w:after="0" w:line="240" w:lineRule="auto"/>
            </w:pPr>
            <w:r>
              <w:rPr>
                <w:sz w:val="15"/>
              </w:rPr>
              <w:t>Shows source links, content owner and last reviewed date.</w:t>
            </w:r>
          </w:p>
        </w:tc>
      </w:tr>
    </w:tbl>
    <w:p>
      <w:pPr>
        <w:spacing w:after="0" w:line="40" w:lineRule="exact"/>
      </w:pPr>
      <w:r>
        <w:rPr>
          <w:sz w:val="2"/>
        </w:rPr>
        <w:t xml:space="preserve"> </w:t>
      </w:r>
    </w:p>
    <w:p>
      <w:pPr>
        <w:pStyle w:val="Heading1"/>
        <w:keepNext w:val="1"/>
        <w:keepLines w:val="1"/>
      </w:pPr>
      <w:r>
        <w:t>Language controls</w:t>
      </w:r>
    </w:p>
    <w:tbl>
      <w:tblPr>
        <w:tblStyle w:val="TableGrid"/>
        <w:tblW w:type="auto" w:w="0"/>
        <w:tblLayout w:type="fixed"/>
        <w:tblLook w:firstColumn="1" w:firstRow="1" w:lastColumn="0" w:lastRow="0" w:noHBand="0" w:noVBand="1" w:val="04A0"/>
      </w:tblPr>
      <w:tblGrid>
        <w:gridCol w:w="4997"/>
        <w:gridCol w:w="4997"/>
      </w:tblGrid>
      <w:tr>
        <w:trPr>
          <w:trHeight w:hRule="atLeast"/>
          <w:tblHeader w:val="true"/>
          <w:cantSplit w:val="true"/>
        </w:trPr>
        <w:tc>
          <w:tcPr>
            <w:tcW w:type="dxa" w:w="3024"/>
            <w:shd w:fill="244C5A"/>
            <w:tcMar>
              <w:top w:w="58" w:type="dxa"/>
              <w:start w:w="100" w:type="dxa"/>
              <w:bottom w:w="58" w:type="dxa"/>
              <w:end w:w="100" w:type="dxa"/>
            </w:tcMar>
            <w:vAlign w:val="center"/>
          </w:tcPr>
          <w:p>
            <w:pPr>
              <w:spacing w:after="0"/>
            </w:pPr>
            <w:r>
              <w:rPr>
                <w:b/>
                <w:color w:val="FFFFFF"/>
                <w:sz w:val="16"/>
              </w:rPr>
              <w:t>Avoid</w:t>
            </w:r>
          </w:p>
        </w:tc>
        <w:tc>
          <w:tcPr>
            <w:tcW w:type="dxa" w:w="7416"/>
            <w:shd w:fill="244C5A"/>
            <w:tcMar>
              <w:top w:w="58" w:type="dxa"/>
              <w:start w:w="100" w:type="dxa"/>
              <w:bottom w:w="58" w:type="dxa"/>
              <w:end w:w="100" w:type="dxa"/>
            </w:tcMar>
            <w:vAlign w:val="center"/>
          </w:tcPr>
          <w:p>
            <w:pPr>
              <w:spacing w:after="0"/>
            </w:pPr>
            <w:r>
              <w:rPr>
                <w:b/>
                <w:color w:val="FFFFFF"/>
                <w:sz w:val="16"/>
              </w:rPr>
              <w:t>Use</w:t>
            </w:r>
          </w:p>
        </w:tc>
      </w:tr>
      <w:tr>
        <w:trPr>
          <w:cantSplit w:val="true"/>
          <w:trHeight w:hRule="atLeast"/>
        </w:trPr>
        <w:tc>
          <w:tcPr>
            <w:tcW w:type="dxa" w:w="3024"/>
            <w:shd w:fill="FFFFFF"/>
            <w:tcMar>
              <w:top w:w="42" w:type="dxa"/>
              <w:start w:w="100" w:type="dxa"/>
              <w:bottom w:w="42" w:type="dxa"/>
              <w:end w:w="100" w:type="dxa"/>
            </w:tcMar>
            <w:vAlign w:val="top"/>
          </w:tcPr>
          <w:p>
            <w:pPr>
              <w:spacing w:after="0" w:line="240" w:lineRule="auto"/>
            </w:pPr>
            <w:r>
              <w:rPr>
                <w:b/>
                <w:color w:val="2D3436"/>
                <w:sz w:val="15"/>
              </w:rPr>
              <w:t>will reduce / will create / will retain</w:t>
            </w:r>
          </w:p>
        </w:tc>
        <w:tc>
          <w:tcPr>
            <w:tcW w:type="dxa" w:w="7416"/>
            <w:shd w:fill="FFFFFF"/>
            <w:tcMar>
              <w:top w:w="42" w:type="dxa"/>
              <w:start w:w="100" w:type="dxa"/>
              <w:bottom w:w="42" w:type="dxa"/>
              <w:end w:w="100" w:type="dxa"/>
            </w:tcMar>
            <w:vAlign w:val="top"/>
          </w:tcPr>
          <w:p>
            <w:pPr>
              <w:spacing w:after="0" w:line="240" w:lineRule="auto"/>
            </w:pPr>
            <w:r>
              <w:rPr>
                <w:sz w:val="15"/>
              </w:rPr>
              <w:t>could or is intended to; then identify the measure and decision rule</w:t>
            </w:r>
          </w:p>
        </w:tc>
      </w:tr>
      <w:tr>
        <w:trPr>
          <w:cantSplit w:val="true"/>
          <w:trHeight w:hRule="atLeast"/>
        </w:trPr>
        <w:tc>
          <w:tcPr>
            <w:tcW w:type="dxa" w:w="3024"/>
            <w:shd w:fill="F3F4F4"/>
            <w:tcMar>
              <w:top w:w="42" w:type="dxa"/>
              <w:start w:w="100" w:type="dxa"/>
              <w:bottom w:w="42" w:type="dxa"/>
              <w:end w:w="100" w:type="dxa"/>
            </w:tcMar>
            <w:vAlign w:val="top"/>
          </w:tcPr>
          <w:p>
            <w:pPr>
              <w:spacing w:after="0" w:line="240" w:lineRule="auto"/>
            </w:pPr>
            <w:r>
              <w:rPr>
                <w:b/>
                <w:color w:val="2D3436"/>
                <w:sz w:val="15"/>
              </w:rPr>
              <w:t>proven model</w:t>
            </w:r>
          </w:p>
        </w:tc>
        <w:tc>
          <w:tcPr>
            <w:tcW w:type="dxa" w:w="7416"/>
            <w:shd w:fill="F3F4F4"/>
            <w:tcMar>
              <w:top w:w="42" w:type="dxa"/>
              <w:start w:w="100" w:type="dxa"/>
              <w:bottom w:w="42" w:type="dxa"/>
              <w:end w:w="100" w:type="dxa"/>
            </w:tcMar>
            <w:vAlign w:val="top"/>
          </w:tcPr>
          <w:p>
            <w:pPr>
              <w:spacing w:after="0" w:line="240" w:lineRule="auto"/>
            </w:pPr>
            <w:r>
              <w:rPr>
                <w:sz w:val="15"/>
              </w:rPr>
              <w:t>defined framework or proposed operating model unless an evaluated result is cited</w:t>
            </w:r>
          </w:p>
        </w:tc>
      </w:tr>
      <w:tr>
        <w:trPr>
          <w:cantSplit w:val="true"/>
          <w:trHeight w:hRule="atLeast"/>
        </w:trPr>
        <w:tc>
          <w:tcPr>
            <w:tcW w:type="dxa" w:w="3024"/>
            <w:shd w:fill="FFFFFF"/>
            <w:tcMar>
              <w:top w:w="42" w:type="dxa"/>
              <w:start w:w="100" w:type="dxa"/>
              <w:bottom w:w="42" w:type="dxa"/>
              <w:end w:w="100" w:type="dxa"/>
            </w:tcMar>
            <w:vAlign w:val="top"/>
          </w:tcPr>
          <w:p>
            <w:pPr>
              <w:spacing w:after="0" w:line="240" w:lineRule="auto"/>
            </w:pPr>
            <w:r>
              <w:rPr>
                <w:b/>
                <w:color w:val="2D3436"/>
                <w:sz w:val="15"/>
              </w:rPr>
              <w:t>self-sustaining</w:t>
            </w:r>
          </w:p>
        </w:tc>
        <w:tc>
          <w:tcPr>
            <w:tcW w:type="dxa" w:w="7416"/>
            <w:shd w:fill="FFFFFF"/>
            <w:tcMar>
              <w:top w:w="42" w:type="dxa"/>
              <w:start w:w="100" w:type="dxa"/>
              <w:bottom w:w="42" w:type="dxa"/>
              <w:end w:w="100" w:type="dxa"/>
            </w:tcMar>
            <w:vAlign w:val="top"/>
          </w:tcPr>
          <w:p>
            <w:pPr>
              <w:spacing w:after="0" w:line="240" w:lineRule="auto"/>
            </w:pPr>
            <w:r>
              <w:rPr>
                <w:sz w:val="15"/>
              </w:rPr>
              <w:t>operating coverage target including debt, maintenance, renewal and overhead</w:t>
            </w:r>
          </w:p>
        </w:tc>
      </w:tr>
      <w:tr>
        <w:trPr>
          <w:cantSplit w:val="true"/>
          <w:trHeight w:hRule="atLeast"/>
        </w:trPr>
        <w:tc>
          <w:tcPr>
            <w:tcW w:type="dxa" w:w="3024"/>
            <w:shd w:fill="F3F4F4"/>
            <w:tcMar>
              <w:top w:w="42" w:type="dxa"/>
              <w:start w:w="100" w:type="dxa"/>
              <w:bottom w:w="42" w:type="dxa"/>
              <w:end w:w="100" w:type="dxa"/>
            </w:tcMar>
            <w:vAlign w:val="top"/>
          </w:tcPr>
          <w:p>
            <w:pPr>
              <w:spacing w:after="0" w:line="240" w:lineRule="auto"/>
            </w:pPr>
            <w:r>
              <w:rPr>
                <w:b/>
                <w:color w:val="2D3436"/>
                <w:sz w:val="15"/>
              </w:rPr>
              <w:t>local multiplier</w:t>
            </w:r>
          </w:p>
        </w:tc>
        <w:tc>
          <w:tcPr>
            <w:tcW w:type="dxa" w:w="7416"/>
            <w:shd w:fill="F3F4F4"/>
            <w:tcMar>
              <w:top w:w="42" w:type="dxa"/>
              <w:start w:w="100" w:type="dxa"/>
              <w:bottom w:w="42" w:type="dxa"/>
              <w:end w:w="100" w:type="dxa"/>
            </w:tcMar>
            <w:vAlign w:val="top"/>
          </w:tcPr>
          <w:p>
            <w:pPr>
              <w:spacing w:after="0" w:line="240" w:lineRule="auto"/>
            </w:pPr>
            <w:r>
              <w:rPr>
                <w:sz w:val="15"/>
              </w:rPr>
              <w:t>an input-output estimate with geography, model, leakage assumptions and source date</w:t>
            </w:r>
          </w:p>
        </w:tc>
      </w:tr>
      <w:tr>
        <w:trPr>
          <w:cantSplit w:val="true"/>
          <w:trHeight w:hRule="atLeast"/>
        </w:trPr>
        <w:tc>
          <w:tcPr>
            <w:tcW w:type="dxa" w:w="3024"/>
            <w:shd w:fill="FFFFFF"/>
            <w:tcMar>
              <w:top w:w="42" w:type="dxa"/>
              <w:start w:w="100" w:type="dxa"/>
              <w:bottom w:w="42" w:type="dxa"/>
              <w:end w:w="100" w:type="dxa"/>
            </w:tcMar>
            <w:vAlign w:val="top"/>
          </w:tcPr>
          <w:p>
            <w:pPr>
              <w:spacing w:after="0" w:line="240" w:lineRule="auto"/>
            </w:pPr>
            <w:r>
              <w:rPr>
                <w:b/>
                <w:color w:val="2D3436"/>
                <w:sz w:val="15"/>
              </w:rPr>
              <w:t>jobs created</w:t>
            </w:r>
          </w:p>
        </w:tc>
        <w:tc>
          <w:tcPr>
            <w:tcW w:type="dxa" w:w="7416"/>
            <w:shd w:fill="FFFFFF"/>
            <w:tcMar>
              <w:top w:w="42" w:type="dxa"/>
              <w:start w:w="100" w:type="dxa"/>
              <w:bottom w:w="42" w:type="dxa"/>
              <w:end w:w="100" w:type="dxa"/>
            </w:tcMar>
            <w:vAlign w:val="top"/>
          </w:tcPr>
          <w:p>
            <w:pPr>
              <w:spacing w:after="0" w:line="240" w:lineRule="auto"/>
            </w:pPr>
            <w:r>
              <w:rPr>
                <w:sz w:val="15"/>
              </w:rPr>
              <w:t>direct FTEs, indirect estimates and filled vacancies reported separately</w:t>
            </w:r>
          </w:p>
        </w:tc>
      </w:tr>
      <w:tr>
        <w:trPr>
          <w:cantSplit w:val="true"/>
          <w:trHeight w:hRule="atLeast"/>
        </w:trPr>
        <w:tc>
          <w:tcPr>
            <w:tcW w:type="dxa" w:w="3024"/>
            <w:shd w:fill="F3F4F4"/>
            <w:tcMar>
              <w:top w:w="42" w:type="dxa"/>
              <w:start w:w="100" w:type="dxa"/>
              <w:bottom w:w="42" w:type="dxa"/>
              <w:end w:w="100" w:type="dxa"/>
            </w:tcMar>
            <w:vAlign w:val="top"/>
          </w:tcPr>
          <w:p>
            <w:pPr>
              <w:spacing w:after="0" w:line="240" w:lineRule="auto"/>
            </w:pPr>
            <w:r>
              <w:rPr>
                <w:b/>
                <w:color w:val="2D3436"/>
                <w:sz w:val="15"/>
              </w:rPr>
              <w:t>affordable</w:t>
            </w:r>
          </w:p>
        </w:tc>
        <w:tc>
          <w:tcPr>
            <w:tcW w:type="dxa" w:w="7416"/>
            <w:shd w:fill="F3F4F4"/>
            <w:tcMar>
              <w:top w:w="42" w:type="dxa"/>
              <w:start w:w="100" w:type="dxa"/>
              <w:bottom w:w="42" w:type="dxa"/>
              <w:end w:w="100" w:type="dxa"/>
            </w:tcMar>
            <w:vAlign w:val="top"/>
          </w:tcPr>
          <w:p>
            <w:pPr>
              <w:spacing w:after="0" w:line="240" w:lineRule="auto"/>
            </w:pPr>
            <w:r>
              <w:rPr>
                <w:sz w:val="15"/>
              </w:rPr>
              <w:t>a defined price or cost-to-income threshold for a named household or customer group</w:t>
            </w:r>
          </w:p>
        </w:tc>
      </w:tr>
      <w:tr>
        <w:trPr>
          <w:cantSplit w:val="true"/>
          <w:trHeight w:hRule="atLeast"/>
        </w:trPr>
        <w:tc>
          <w:tcPr>
            <w:tcW w:type="dxa" w:w="3024"/>
            <w:shd w:fill="FFFFFF"/>
            <w:tcMar>
              <w:top w:w="42" w:type="dxa"/>
              <w:start w:w="100" w:type="dxa"/>
              <w:bottom w:w="42" w:type="dxa"/>
              <w:end w:w="100" w:type="dxa"/>
            </w:tcMar>
            <w:vAlign w:val="top"/>
          </w:tcPr>
          <w:p>
            <w:pPr>
              <w:spacing w:after="0" w:line="240" w:lineRule="auto"/>
            </w:pPr>
            <w:r>
              <w:rPr>
                <w:b/>
                <w:color w:val="2D3436"/>
                <w:sz w:val="15"/>
              </w:rPr>
              <w:t>accessible</w:t>
            </w:r>
          </w:p>
        </w:tc>
        <w:tc>
          <w:tcPr>
            <w:tcW w:type="dxa" w:w="7416"/>
            <w:shd w:fill="FFFFFF"/>
            <w:tcMar>
              <w:top w:w="42" w:type="dxa"/>
              <w:start w:w="100" w:type="dxa"/>
              <w:bottom w:w="42" w:type="dxa"/>
              <w:end w:w="100" w:type="dxa"/>
            </w:tcMar>
            <w:vAlign w:val="top"/>
          </w:tcPr>
          <w:p>
            <w:pPr>
              <w:spacing w:after="0" w:line="240" w:lineRule="auto"/>
            </w:pPr>
            <w:r>
              <w:rPr>
                <w:sz w:val="15"/>
              </w:rPr>
              <w:t>a defined distance, wait, travel, booking, price and accessibility standard</w:t>
            </w:r>
          </w:p>
        </w:tc>
      </w:tr>
      <w:tr>
        <w:trPr>
          <w:cantSplit w:val="true"/>
          <w:trHeight w:hRule="atLeast"/>
        </w:trPr>
        <w:tc>
          <w:tcPr>
            <w:tcW w:type="dxa" w:w="3024"/>
            <w:shd w:fill="F3F4F4"/>
            <w:tcMar>
              <w:top w:w="42" w:type="dxa"/>
              <w:start w:w="100" w:type="dxa"/>
              <w:bottom w:w="42" w:type="dxa"/>
              <w:end w:w="100" w:type="dxa"/>
            </w:tcMar>
            <w:vAlign w:val="top"/>
          </w:tcPr>
          <w:p>
            <w:pPr>
              <w:spacing w:after="0" w:line="240" w:lineRule="auto"/>
            </w:pPr>
            <w:r>
              <w:rPr>
                <w:b/>
                <w:color w:val="2D3436"/>
                <w:sz w:val="15"/>
              </w:rPr>
              <w:t>independent</w:t>
            </w:r>
          </w:p>
        </w:tc>
        <w:tc>
          <w:tcPr>
            <w:tcW w:type="dxa" w:w="7416"/>
            <w:shd w:fill="F3F4F4"/>
            <w:tcMar>
              <w:top w:w="42" w:type="dxa"/>
              <w:start w:w="100" w:type="dxa"/>
              <w:bottom w:w="42" w:type="dxa"/>
              <w:end w:w="100" w:type="dxa"/>
            </w:tcMar>
            <w:vAlign w:val="top"/>
          </w:tcPr>
          <w:p>
            <w:pPr>
              <w:spacing w:after="0" w:line="240" w:lineRule="auto"/>
            </w:pPr>
            <w:r>
              <w:rPr>
                <w:sz w:val="15"/>
              </w:rPr>
              <w:t>local operating capacity within provincial and federal law</w:t>
            </w:r>
          </w:p>
        </w:tc>
      </w:tr>
    </w:tbl>
    <w:p>
      <w:pPr>
        <w:spacing w:after="0" w:line="40" w:lineRule="exact"/>
      </w:pPr>
      <w:r>
        <w:rPr>
          <w:sz w:val="2"/>
        </w:rPr>
        <w:t xml:space="preserve"> </w:t>
      </w:r>
    </w:p>
    <w:p>
      <w:pPr>
        <w:pStyle w:val="Heading1"/>
        <w:keepNext w:val="1"/>
        <w:keepLines w:val="1"/>
      </w:pPr>
      <w:r>
        <w:t>Launch sequence</w:t>
      </w:r>
    </w:p>
    <w:p>
      <w:pPr>
        <w:pStyle w:val="BodyText"/>
        <w:ind w:left="432" w:hanging="317"/>
        <w:keepLines w:val="1"/>
      </w:pPr>
      <w:r>
        <w:rPr>
          <w:b/>
        </w:rPr>
        <w:t xml:space="preserve">1.  </w:t>
      </w:r>
      <w:r>
        <w:t>Publish /autonomies and all nine page shells in one release so the architecture is immediately consistent.</w:t>
      </w:r>
    </w:p>
    <w:p>
      <w:pPr>
        <w:pStyle w:val="BodyText"/>
        <w:ind w:left="432" w:hanging="317"/>
        <w:keepLines w:val="1"/>
      </w:pPr>
      <w:r>
        <w:rPr>
          <w:b/>
        </w:rPr>
        <w:t xml:space="preserve">2.  </w:t>
      </w:r>
      <w:r>
        <w:t>Update Home, Overview, How It Works, Enterprises and Research in the same release; remove the six-pillar and three-core-pillar language.</w:t>
      </w:r>
    </w:p>
    <w:p>
      <w:pPr>
        <w:pStyle w:val="BodyText"/>
        <w:ind w:left="432" w:hanging="317"/>
        <w:keepLines w:val="1"/>
      </w:pPr>
      <w:r>
        <w:rPr>
          <w:b/>
        </w:rPr>
        <w:t xml:space="preserve">3.  </w:t>
      </w:r>
      <w:r>
        <w:t>Keep the existing Housing and MGA URLs and redirect any superseded Enterprise anchors to the relevant Autonomy page.</w:t>
      </w:r>
    </w:p>
    <w:p>
      <w:pPr>
        <w:pStyle w:val="BodyText"/>
        <w:ind w:left="432" w:hanging="317"/>
        <w:keepLines w:val="1"/>
      </w:pPr>
      <w:r>
        <w:rPr>
          <w:b/>
        </w:rPr>
        <w:t xml:space="preserve">4.  </w:t>
      </w:r>
      <w:r>
        <w:t>Add evidence-status components and Calculation note links before restoring any modelled figures.</w:t>
      </w:r>
    </w:p>
    <w:p>
      <w:pPr>
        <w:pStyle w:val="BodyText"/>
        <w:ind w:left="432" w:hanging="317"/>
        <w:keepLines w:val="1"/>
      </w:pPr>
      <w:r>
        <w:rPr>
          <w:b/>
        </w:rPr>
        <w:t xml:space="preserve">5.  </w:t>
      </w:r>
      <w:r>
        <w:t>Test navigation, accordions, tables, source links and reading order on Android and at 320-pixel width; ensure evidence labels remain visible without hover.</w:t>
      </w:r>
    </w:p>
    <w:p>
      <w:pPr>
        <w:pStyle w:val="BodyText"/>
        <w:ind w:left="432" w:hanging="317"/>
        <w:keepLines w:val="1"/>
      </w:pPr>
      <w:r>
        <w:rPr>
          <w:b/>
        </w:rPr>
        <w:t xml:space="preserve">6.  </w:t>
      </w:r>
      <w:r>
        <w:t>Record the publication date and establish a quarterly claim review plus an immediate review when law, funding or pilot evidence changes.</w:t>
      </w:r>
    </w:p>
    <w:p>
      <w:r>
        <w:br w:type="page"/>
      </w:r>
    </w:p>
    <w:p>
      <w:pPr>
        <w:pStyle w:val="Kicker"/>
        <w:keepNext w:val="1"/>
        <w:keepLines w:val="1"/>
      </w:pPr>
      <w:r>
        <w:t>APPENDIX</w:t>
      </w:r>
    </w:p>
    <w:p>
      <w:pPr>
        <w:pStyle w:val="TitlePage"/>
        <w:keepNext w:val="1"/>
        <w:keepLines w:val="1"/>
      </w:pPr>
      <w:bookmarkStart w:id="683948" w:name="sources"/>
      <w:bookmarkEnd w:id="683948"/>
      <w:r>
        <w:t>Primary source register</w:t>
      </w:r>
    </w:p>
    <w:p>
      <w:pPr>
        <w:pStyle w:val="BodyText"/>
      </w:pPr>
      <w:r>
        <w:t>These sources establish institutional facts, definitions, public examples or measurement approaches. None, by itself, proves that a CDMM project will produce a claimed local outcome. Each published page should link the source beside the supported claim and state the limit of inference.</w:t>
      </w:r>
    </w:p>
    <w:tbl>
      <w:tblPr>
        <w:tblStyle w:val="TableGrid"/>
        <w:tblW w:type="auto" w:w="0"/>
        <w:tblLayout w:type="fixed"/>
        <w:tblLook w:firstColumn="1" w:firstRow="1" w:lastColumn="0" w:lastRow="0" w:noHBand="0" w:noVBand="1" w:val="04A0"/>
      </w:tblPr>
      <w:tblGrid>
        <w:gridCol w:w="2498"/>
        <w:gridCol w:w="2498"/>
        <w:gridCol w:w="2498"/>
        <w:gridCol w:w="2498"/>
      </w:tblGrid>
      <w:tr>
        <w:trPr>
          <w:trHeight w:hRule="atLeast"/>
          <w:tblHeader w:val="true"/>
          <w:cantSplit w:val="true"/>
        </w:trPr>
        <w:tc>
          <w:tcPr>
            <w:tcW w:type="dxa" w:w="1080"/>
            <w:shd w:fill="244C5A"/>
            <w:tcMar>
              <w:top w:w="58" w:type="dxa"/>
              <w:start w:w="100" w:type="dxa"/>
              <w:bottom w:w="58" w:type="dxa"/>
              <w:end w:w="100" w:type="dxa"/>
            </w:tcMar>
            <w:vAlign w:val="center"/>
          </w:tcPr>
          <w:p>
            <w:pPr>
              <w:spacing w:after="0"/>
            </w:pPr>
            <w:r>
              <w:rPr>
                <w:b/>
                <w:color w:val="FFFFFF"/>
                <w:sz w:val="16"/>
              </w:rPr>
              <w:t>ID</w:t>
            </w:r>
          </w:p>
        </w:tc>
        <w:tc>
          <w:tcPr>
            <w:tcW w:type="dxa" w:w="3312"/>
            <w:shd w:fill="244C5A"/>
            <w:tcMar>
              <w:top w:w="58" w:type="dxa"/>
              <w:start w:w="100" w:type="dxa"/>
              <w:bottom w:w="58" w:type="dxa"/>
              <w:end w:w="100" w:type="dxa"/>
            </w:tcMar>
            <w:vAlign w:val="center"/>
          </w:tcPr>
          <w:p>
            <w:pPr>
              <w:spacing w:after="0"/>
            </w:pPr>
            <w:r>
              <w:rPr>
                <w:b/>
                <w:color w:val="FFFFFF"/>
                <w:sz w:val="16"/>
              </w:rPr>
              <w:t>Source</w:t>
            </w:r>
          </w:p>
        </w:tc>
        <w:tc>
          <w:tcPr>
            <w:tcW w:type="dxa" w:w="2592"/>
            <w:shd w:fill="244C5A"/>
            <w:tcMar>
              <w:top w:w="58" w:type="dxa"/>
              <w:start w:w="100" w:type="dxa"/>
              <w:bottom w:w="58" w:type="dxa"/>
              <w:end w:w="100" w:type="dxa"/>
            </w:tcMar>
            <w:vAlign w:val="center"/>
          </w:tcPr>
          <w:p>
            <w:pPr>
              <w:spacing w:after="0"/>
            </w:pPr>
            <w:r>
              <w:rPr>
                <w:b/>
                <w:color w:val="FFFFFF"/>
                <w:sz w:val="16"/>
              </w:rPr>
              <w:t>Authority</w:t>
            </w:r>
          </w:p>
        </w:tc>
        <w:tc>
          <w:tcPr>
            <w:tcW w:type="dxa" w:w="3456"/>
            <w:shd w:fill="244C5A"/>
            <w:tcMar>
              <w:top w:w="58" w:type="dxa"/>
              <w:start w:w="100" w:type="dxa"/>
              <w:bottom w:w="58" w:type="dxa"/>
              <w:end w:w="100" w:type="dxa"/>
            </w:tcMar>
            <w:vAlign w:val="center"/>
          </w:tcPr>
          <w:p>
            <w:pPr>
              <w:spacing w:after="0"/>
            </w:pPr>
            <w:r>
              <w:rPr>
                <w:b/>
                <w:color w:val="FFFFFF"/>
                <w:sz w:val="16"/>
              </w:rPr>
              <w:t>Use and limit</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F1</w:t>
            </w:r>
          </w:p>
        </w:tc>
        <w:tc>
          <w:tcPr>
            <w:tcW w:type="dxa" w:w="3312"/>
            <w:shd w:fill="FFFFFF"/>
            <w:tcMar>
              <w:top w:w="42" w:type="dxa"/>
              <w:start w:w="100" w:type="dxa"/>
              <w:bottom w:w="42" w:type="dxa"/>
              <w:end w:w="100" w:type="dxa"/>
            </w:tcMar>
            <w:vAlign w:val="top"/>
          </w:tcPr>
          <w:p>
            <w:pPr>
              <w:spacing w:after="0" w:line="240" w:lineRule="auto"/>
            </w:pPr>
            <w:r>
              <w:rPr>
                <w:sz w:val="15"/>
              </w:rPr>
              <w:t>Constitution Act, 1867</w:t>
            </w:r>
          </w:p>
        </w:tc>
        <w:tc>
          <w:tcPr>
            <w:tcW w:type="dxa" w:w="2592"/>
            <w:shd w:fill="FFFFFF"/>
            <w:tcMar>
              <w:top w:w="42" w:type="dxa"/>
              <w:start w:w="100" w:type="dxa"/>
              <w:bottom w:w="42" w:type="dxa"/>
              <w:end w:w="100" w:type="dxa"/>
            </w:tcMar>
            <w:vAlign w:val="top"/>
          </w:tcPr>
          <w:p>
            <w:pPr>
              <w:spacing w:after="0" w:line="240" w:lineRule="auto"/>
            </w:pPr>
            <w:r>
              <w:rPr>
                <w:sz w:val="15"/>
              </w:rPr>
              <w:t>Justice Laws Website</w:t>
            </w:r>
          </w:p>
        </w:tc>
        <w:tc>
          <w:tcPr>
            <w:tcW w:type="dxa" w:w="3456"/>
            <w:shd w:fill="FFFFFF"/>
            <w:tcMar>
              <w:top w:w="42" w:type="dxa"/>
              <w:start w:w="100" w:type="dxa"/>
              <w:bottom w:w="42" w:type="dxa"/>
              <w:end w:w="100" w:type="dxa"/>
            </w:tcMar>
            <w:vAlign w:val="top"/>
          </w:tcPr>
          <w:p>
            <w:pPr>
              <w:spacing w:after="0" w:line="240" w:lineRule="auto"/>
            </w:pPr>
            <w:r>
              <w:rPr>
                <w:sz w:val="15"/>
              </w:rPr>
              <w:t>Municipal institutions, hospitals, licences, local works, natural resources, electricity; section 35 rights. Requires province- and project-specific advice.</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H1</w:t>
            </w:r>
          </w:p>
        </w:tc>
        <w:tc>
          <w:tcPr>
            <w:tcW w:type="dxa" w:w="3312"/>
            <w:shd w:fill="F3F4F4"/>
            <w:tcMar>
              <w:top w:w="42" w:type="dxa"/>
              <w:start w:w="100" w:type="dxa"/>
              <w:bottom w:w="42" w:type="dxa"/>
              <w:end w:w="100" w:type="dxa"/>
            </w:tcMar>
            <w:vAlign w:val="top"/>
          </w:tcPr>
          <w:p>
            <w:pPr>
              <w:spacing w:after="0" w:line="240" w:lineRule="auto"/>
            </w:pPr>
            <w:r>
              <w:rPr>
                <w:sz w:val="15"/>
              </w:rPr>
              <w:t>Housing Accelerator Fund agreement update</w:t>
            </w:r>
          </w:p>
        </w:tc>
        <w:tc>
          <w:tcPr>
            <w:tcW w:type="dxa" w:w="2592"/>
            <w:shd w:fill="F3F4F4"/>
            <w:tcMar>
              <w:top w:w="42" w:type="dxa"/>
              <w:start w:w="100" w:type="dxa"/>
              <w:bottom w:w="42" w:type="dxa"/>
              <w:end w:w="100" w:type="dxa"/>
            </w:tcMar>
            <w:vAlign w:val="top"/>
          </w:tcPr>
          <w:p>
            <w:pPr>
              <w:spacing w:after="0" w:line="240" w:lineRule="auto"/>
            </w:pPr>
            <w:r>
              <w:rPr>
                <w:sz w:val="15"/>
              </w:rPr>
              <w:t>CMHC</w:t>
            </w:r>
          </w:p>
        </w:tc>
        <w:tc>
          <w:tcPr>
            <w:tcW w:type="dxa" w:w="3456"/>
            <w:shd w:fill="F3F4F4"/>
            <w:tcMar>
              <w:top w:w="42" w:type="dxa"/>
              <w:start w:w="100" w:type="dxa"/>
              <w:bottom w:w="42" w:type="dxa"/>
              <w:end w:w="100" w:type="dxa"/>
            </w:tcMar>
            <w:vAlign w:val="top"/>
          </w:tcPr>
          <w:p>
            <w:pPr>
              <w:spacing w:after="0" w:line="240" w:lineRule="auto"/>
            </w:pPr>
            <w:r>
              <w:rPr>
                <w:sz w:val="15"/>
              </w:rPr>
              <w:t>Municipal action plans and reporting; not a CDMM cost or outcome evaluation.</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H2</w:t>
            </w:r>
          </w:p>
        </w:tc>
        <w:tc>
          <w:tcPr>
            <w:tcW w:type="dxa" w:w="3312"/>
            <w:shd w:fill="FFFFFF"/>
            <w:tcMar>
              <w:top w:w="42" w:type="dxa"/>
              <w:start w:w="100" w:type="dxa"/>
              <w:bottom w:w="42" w:type="dxa"/>
              <w:end w:w="100" w:type="dxa"/>
            </w:tcMar>
            <w:vAlign w:val="top"/>
          </w:tcPr>
          <w:p>
            <w:pPr>
              <w:spacing w:after="0" w:line="240" w:lineRule="auto"/>
            </w:pPr>
            <w:r>
              <w:rPr>
                <w:sz w:val="15"/>
              </w:rPr>
              <w:t>Core housing need in Canada</w:t>
            </w:r>
          </w:p>
        </w:tc>
        <w:tc>
          <w:tcPr>
            <w:tcW w:type="dxa" w:w="2592"/>
            <w:shd w:fill="FFFFFF"/>
            <w:tcMar>
              <w:top w:w="42" w:type="dxa"/>
              <w:start w:w="100" w:type="dxa"/>
              <w:bottom w:w="42" w:type="dxa"/>
              <w:end w:w="100" w:type="dxa"/>
            </w:tcMar>
            <w:vAlign w:val="top"/>
          </w:tcPr>
          <w:p>
            <w:pPr>
              <w:spacing w:after="0" w:line="240" w:lineRule="auto"/>
            </w:pPr>
            <w:r>
              <w:rPr>
                <w:sz w:val="15"/>
              </w:rPr>
              <w:t>Statistics Canada</w:t>
            </w:r>
          </w:p>
        </w:tc>
        <w:tc>
          <w:tcPr>
            <w:tcW w:type="dxa" w:w="3456"/>
            <w:shd w:fill="FFFFFF"/>
            <w:tcMar>
              <w:top w:w="42" w:type="dxa"/>
              <w:start w:w="100" w:type="dxa"/>
              <w:bottom w:w="42" w:type="dxa"/>
              <w:end w:w="100" w:type="dxa"/>
            </w:tcMar>
            <w:vAlign w:val="top"/>
          </w:tcPr>
          <w:p>
            <w:pPr>
              <w:spacing w:after="0" w:line="240" w:lineRule="auto"/>
            </w:pPr>
            <w:r>
              <w:rPr>
                <w:sz w:val="15"/>
              </w:rPr>
              <w:t>Defined indicator and 2021 national context; not a current local baseline.</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H3</w:t>
            </w:r>
          </w:p>
        </w:tc>
        <w:tc>
          <w:tcPr>
            <w:tcW w:type="dxa" w:w="3312"/>
            <w:shd w:fill="F3F4F4"/>
            <w:tcMar>
              <w:top w:w="42" w:type="dxa"/>
              <w:start w:w="100" w:type="dxa"/>
              <w:bottom w:w="42" w:type="dxa"/>
              <w:end w:w="100" w:type="dxa"/>
            </w:tcMar>
            <w:vAlign w:val="top"/>
          </w:tcPr>
          <w:p>
            <w:pPr>
              <w:spacing w:after="0" w:line="240" w:lineRule="auto"/>
            </w:pPr>
            <w:r>
              <w:rPr>
                <w:sz w:val="15"/>
              </w:rPr>
              <w:t>National Infrastructure Assessment</w:t>
            </w:r>
          </w:p>
        </w:tc>
        <w:tc>
          <w:tcPr>
            <w:tcW w:type="dxa" w:w="2592"/>
            <w:shd w:fill="F3F4F4"/>
            <w:tcMar>
              <w:top w:w="42" w:type="dxa"/>
              <w:start w:w="100" w:type="dxa"/>
              <w:bottom w:w="42" w:type="dxa"/>
              <w:end w:w="100" w:type="dxa"/>
            </w:tcMar>
            <w:vAlign w:val="top"/>
          </w:tcPr>
          <w:p>
            <w:pPr>
              <w:spacing w:after="0" w:line="240" w:lineRule="auto"/>
            </w:pPr>
            <w:r>
              <w:rPr>
                <w:sz w:val="15"/>
              </w:rPr>
              <w:t>Housing, Infrastructure and Communities Canada</w:t>
            </w:r>
          </w:p>
        </w:tc>
        <w:tc>
          <w:tcPr>
            <w:tcW w:type="dxa" w:w="3456"/>
            <w:shd w:fill="F3F4F4"/>
            <w:tcMar>
              <w:top w:w="42" w:type="dxa"/>
              <w:start w:w="100" w:type="dxa"/>
              <w:bottom w:w="42" w:type="dxa"/>
              <w:end w:w="100" w:type="dxa"/>
            </w:tcMar>
            <w:vAlign w:val="top"/>
          </w:tcPr>
          <w:p>
            <w:pPr>
              <w:spacing w:after="0" w:line="240" w:lineRule="auto"/>
            </w:pPr>
            <w:r>
              <w:rPr>
                <w:sz w:val="15"/>
              </w:rPr>
              <w:t>Housing-enabling infrastructure relationships.</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G1–G2</w:t>
            </w:r>
          </w:p>
        </w:tc>
        <w:tc>
          <w:tcPr>
            <w:tcW w:type="dxa" w:w="3312"/>
            <w:shd w:fill="FFFFFF"/>
            <w:tcMar>
              <w:top w:w="42" w:type="dxa"/>
              <w:start w:w="100" w:type="dxa"/>
              <w:bottom w:w="42" w:type="dxa"/>
              <w:end w:w="100" w:type="dxa"/>
            </w:tcMar>
            <w:vAlign w:val="top"/>
          </w:tcPr>
          <w:p>
            <w:pPr>
              <w:spacing w:after="0" w:line="240" w:lineRule="auto"/>
            </w:pPr>
            <w:r>
              <w:rPr>
                <w:sz w:val="15"/>
              </w:rPr>
              <w:t>Retail Grocery Market Study</w:t>
            </w:r>
          </w:p>
        </w:tc>
        <w:tc>
          <w:tcPr>
            <w:tcW w:type="dxa" w:w="2592"/>
            <w:shd w:fill="FFFFFF"/>
            <w:tcMar>
              <w:top w:w="42" w:type="dxa"/>
              <w:start w:w="100" w:type="dxa"/>
              <w:bottom w:w="42" w:type="dxa"/>
              <w:end w:w="100" w:type="dxa"/>
            </w:tcMar>
            <w:vAlign w:val="top"/>
          </w:tcPr>
          <w:p>
            <w:pPr>
              <w:spacing w:after="0" w:line="240" w:lineRule="auto"/>
            </w:pPr>
            <w:r>
              <w:rPr>
                <w:sz w:val="15"/>
              </w:rPr>
              <w:t>Competition Bureau Canada</w:t>
            </w:r>
          </w:p>
        </w:tc>
        <w:tc>
          <w:tcPr>
            <w:tcW w:type="dxa" w:w="3456"/>
            <w:shd w:fill="FFFFFF"/>
            <w:tcMar>
              <w:top w:w="42" w:type="dxa"/>
              <w:start w:w="100" w:type="dxa"/>
              <w:bottom w:w="42" w:type="dxa"/>
              <w:end w:w="100" w:type="dxa"/>
            </w:tcMar>
            <w:vAlign w:val="top"/>
          </w:tcPr>
          <w:p>
            <w:pPr>
              <w:spacing w:after="0" w:line="240" w:lineRule="auto"/>
            </w:pPr>
            <w:r>
              <w:rPr>
                <w:sz w:val="15"/>
              </w:rPr>
              <w:t>Competition findings; not evidence that municipal ownership lowers prices.</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G3</w:t>
            </w:r>
          </w:p>
        </w:tc>
        <w:tc>
          <w:tcPr>
            <w:tcW w:type="dxa" w:w="3312"/>
            <w:shd w:fill="F3F4F4"/>
            <w:tcMar>
              <w:top w:w="42" w:type="dxa"/>
              <w:start w:w="100" w:type="dxa"/>
              <w:bottom w:w="42" w:type="dxa"/>
              <w:end w:w="100" w:type="dxa"/>
            </w:tcMar>
            <w:vAlign w:val="top"/>
          </w:tcPr>
          <w:p>
            <w:pPr>
              <w:spacing w:after="0" w:line="240" w:lineRule="auto"/>
            </w:pPr>
            <w:r>
              <w:rPr>
                <w:sz w:val="15"/>
              </w:rPr>
              <w:t>Council item MM39.27</w:t>
            </w:r>
          </w:p>
        </w:tc>
        <w:tc>
          <w:tcPr>
            <w:tcW w:type="dxa" w:w="2592"/>
            <w:shd w:fill="F3F4F4"/>
            <w:tcMar>
              <w:top w:w="42" w:type="dxa"/>
              <w:start w:w="100" w:type="dxa"/>
              <w:bottom w:w="42" w:type="dxa"/>
              <w:end w:w="100" w:type="dxa"/>
            </w:tcMar>
            <w:vAlign w:val="top"/>
          </w:tcPr>
          <w:p>
            <w:pPr>
              <w:spacing w:after="0" w:line="240" w:lineRule="auto"/>
            </w:pPr>
            <w:r>
              <w:rPr>
                <w:sz w:val="15"/>
              </w:rPr>
              <w:t>City of Toronto</w:t>
            </w:r>
          </w:p>
        </w:tc>
        <w:tc>
          <w:tcPr>
            <w:tcW w:type="dxa" w:w="3456"/>
            <w:shd w:fill="F3F4F4"/>
            <w:tcMar>
              <w:top w:w="42" w:type="dxa"/>
              <w:start w:w="100" w:type="dxa"/>
              <w:bottom w:w="42" w:type="dxa"/>
              <w:end w:w="100" w:type="dxa"/>
            </w:tcMar>
            <w:vAlign w:val="top"/>
          </w:tcPr>
          <w:p>
            <w:pPr>
              <w:spacing w:after="0" w:line="240" w:lineRule="auto"/>
            </w:pPr>
            <w:r>
              <w:rPr>
                <w:sz w:val="15"/>
              </w:rPr>
              <w:t>Municipal pilot direction; outcomes pending.</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G4</w:t>
            </w:r>
          </w:p>
        </w:tc>
        <w:tc>
          <w:tcPr>
            <w:tcW w:type="dxa" w:w="3312"/>
            <w:shd w:fill="FFFFFF"/>
            <w:tcMar>
              <w:top w:w="42" w:type="dxa"/>
              <w:start w:w="100" w:type="dxa"/>
              <w:bottom w:w="42" w:type="dxa"/>
              <w:end w:w="100" w:type="dxa"/>
            </w:tcMar>
            <w:vAlign w:val="top"/>
          </w:tcPr>
          <w:p>
            <w:pPr>
              <w:spacing w:after="0" w:line="240" w:lineRule="auto"/>
            </w:pPr>
            <w:r>
              <w:rPr>
                <w:sz w:val="15"/>
              </w:rPr>
              <w:t>Household Food Security Survey Module</w:t>
            </w:r>
          </w:p>
        </w:tc>
        <w:tc>
          <w:tcPr>
            <w:tcW w:type="dxa" w:w="2592"/>
            <w:shd w:fill="FFFFFF"/>
            <w:tcMar>
              <w:top w:w="42" w:type="dxa"/>
              <w:start w:w="100" w:type="dxa"/>
              <w:bottom w:w="42" w:type="dxa"/>
              <w:end w:w="100" w:type="dxa"/>
            </w:tcMar>
            <w:vAlign w:val="top"/>
          </w:tcPr>
          <w:p>
            <w:pPr>
              <w:spacing w:after="0" w:line="240" w:lineRule="auto"/>
            </w:pPr>
            <w:r>
              <w:rPr>
                <w:sz w:val="15"/>
              </w:rPr>
              <w:t>Health Canada</w:t>
            </w:r>
          </w:p>
        </w:tc>
        <w:tc>
          <w:tcPr>
            <w:tcW w:type="dxa" w:w="3456"/>
            <w:shd w:fill="FFFFFF"/>
            <w:tcMar>
              <w:top w:w="42" w:type="dxa"/>
              <w:start w:w="100" w:type="dxa"/>
              <w:bottom w:w="42" w:type="dxa"/>
              <w:end w:w="100" w:type="dxa"/>
            </w:tcMar>
            <w:vAlign w:val="top"/>
          </w:tcPr>
          <w:p>
            <w:pPr>
              <w:spacing w:after="0" w:line="240" w:lineRule="auto"/>
            </w:pPr>
            <w:r>
              <w:rPr>
                <w:sz w:val="15"/>
              </w:rPr>
              <w:t>Validated household measure; requires suitable survey design.</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HC1–HC3</w:t>
            </w:r>
          </w:p>
        </w:tc>
        <w:tc>
          <w:tcPr>
            <w:tcW w:type="dxa" w:w="3312"/>
            <w:shd w:fill="F3F4F4"/>
            <w:tcMar>
              <w:top w:w="42" w:type="dxa"/>
              <w:start w:w="100" w:type="dxa"/>
              <w:bottom w:w="42" w:type="dxa"/>
              <w:end w:w="100" w:type="dxa"/>
            </w:tcMar>
            <w:vAlign w:val="top"/>
          </w:tcPr>
          <w:p>
            <w:pPr>
              <w:spacing w:after="0" w:line="240" w:lineRule="auto"/>
            </w:pPr>
            <w:r>
              <w:rPr>
                <w:sz w:val="15"/>
              </w:rPr>
              <w:t>Health system and Canada Health Act</w:t>
            </w:r>
          </w:p>
        </w:tc>
        <w:tc>
          <w:tcPr>
            <w:tcW w:type="dxa" w:w="2592"/>
            <w:shd w:fill="F3F4F4"/>
            <w:tcMar>
              <w:top w:w="42" w:type="dxa"/>
              <w:start w:w="100" w:type="dxa"/>
              <w:bottom w:w="42" w:type="dxa"/>
              <w:end w:w="100" w:type="dxa"/>
            </w:tcMar>
            <w:vAlign w:val="top"/>
          </w:tcPr>
          <w:p>
            <w:pPr>
              <w:spacing w:after="0" w:line="240" w:lineRule="auto"/>
            </w:pPr>
            <w:r>
              <w:rPr>
                <w:sz w:val="15"/>
              </w:rPr>
              <w:t>Health Canada and Justice Laws</w:t>
            </w:r>
          </w:p>
        </w:tc>
        <w:tc>
          <w:tcPr>
            <w:tcW w:type="dxa" w:w="3456"/>
            <w:shd w:fill="F3F4F4"/>
            <w:tcMar>
              <w:top w:w="42" w:type="dxa"/>
              <w:start w:w="100" w:type="dxa"/>
              <w:bottom w:w="42" w:type="dxa"/>
              <w:end w:w="100" w:type="dxa"/>
            </w:tcMar>
            <w:vAlign w:val="top"/>
          </w:tcPr>
          <w:p>
            <w:pPr>
              <w:spacing w:after="0" w:line="240" w:lineRule="auto"/>
            </w:pPr>
            <w:r>
              <w:rPr>
                <w:sz w:val="15"/>
              </w:rPr>
              <w:t>Federal, provincial and accessibility framework.</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HC4–HC5</w:t>
            </w:r>
          </w:p>
        </w:tc>
        <w:tc>
          <w:tcPr>
            <w:tcW w:type="dxa" w:w="3312"/>
            <w:shd w:fill="FFFFFF"/>
            <w:tcMar>
              <w:top w:w="42" w:type="dxa"/>
              <w:start w:w="100" w:type="dxa"/>
              <w:bottom w:w="42" w:type="dxa"/>
              <w:end w:w="100" w:type="dxa"/>
            </w:tcMar>
            <w:vAlign w:val="top"/>
          </w:tcPr>
          <w:p>
            <w:pPr>
              <w:spacing w:after="0" w:line="240" w:lineRule="auto"/>
            </w:pPr>
            <w:r>
              <w:rPr>
                <w:sz w:val="15"/>
              </w:rPr>
              <w:t>Primary-care access indicators</w:t>
            </w:r>
          </w:p>
        </w:tc>
        <w:tc>
          <w:tcPr>
            <w:tcW w:type="dxa" w:w="2592"/>
            <w:shd w:fill="FFFFFF"/>
            <w:tcMar>
              <w:top w:w="42" w:type="dxa"/>
              <w:start w:w="100" w:type="dxa"/>
              <w:bottom w:w="42" w:type="dxa"/>
              <w:end w:w="100" w:type="dxa"/>
            </w:tcMar>
            <w:vAlign w:val="top"/>
          </w:tcPr>
          <w:p>
            <w:pPr>
              <w:spacing w:after="0" w:line="240" w:lineRule="auto"/>
            </w:pPr>
            <w:r>
              <w:rPr>
                <w:sz w:val="15"/>
              </w:rPr>
              <w:t>CIHI</w:t>
            </w:r>
          </w:p>
        </w:tc>
        <w:tc>
          <w:tcPr>
            <w:tcW w:type="dxa" w:w="3456"/>
            <w:shd w:fill="FFFFFF"/>
            <w:tcMar>
              <w:top w:w="42" w:type="dxa"/>
              <w:start w:w="100" w:type="dxa"/>
              <w:bottom w:w="42" w:type="dxa"/>
              <w:end w:w="100" w:type="dxa"/>
            </w:tcMar>
            <w:vAlign w:val="top"/>
          </w:tcPr>
          <w:p>
            <w:pPr>
              <w:spacing w:after="0" w:line="240" w:lineRule="auto"/>
            </w:pPr>
            <w:r>
              <w:rPr>
                <w:sz w:val="15"/>
              </w:rPr>
              <w:t>Measurement definitions and national analysis; local interpretation required.</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T1–T3</w:t>
            </w:r>
          </w:p>
        </w:tc>
        <w:tc>
          <w:tcPr>
            <w:tcW w:type="dxa" w:w="3312"/>
            <w:shd w:fill="F3F4F4"/>
            <w:tcMar>
              <w:top w:w="42" w:type="dxa"/>
              <w:start w:w="100" w:type="dxa"/>
              <w:bottom w:w="42" w:type="dxa"/>
              <w:end w:w="100" w:type="dxa"/>
            </w:tcMar>
            <w:vAlign w:val="top"/>
          </w:tcPr>
          <w:p>
            <w:pPr>
              <w:spacing w:after="0" w:line="240" w:lineRule="auto"/>
            </w:pPr>
            <w:r>
              <w:rPr>
                <w:sz w:val="15"/>
              </w:rPr>
              <w:t>Transit programs and data</w:t>
            </w:r>
          </w:p>
        </w:tc>
        <w:tc>
          <w:tcPr>
            <w:tcW w:type="dxa" w:w="2592"/>
            <w:shd w:fill="F3F4F4"/>
            <w:tcMar>
              <w:top w:w="42" w:type="dxa"/>
              <w:start w:w="100" w:type="dxa"/>
              <w:bottom w:w="42" w:type="dxa"/>
              <w:end w:w="100" w:type="dxa"/>
            </w:tcMar>
            <w:vAlign w:val="top"/>
          </w:tcPr>
          <w:p>
            <w:pPr>
              <w:spacing w:after="0" w:line="240" w:lineRule="auto"/>
            </w:pPr>
            <w:r>
              <w:rPr>
                <w:sz w:val="15"/>
              </w:rPr>
              <w:t>Housing, Infrastructure and Communities Canada; Statistics Canada</w:t>
            </w:r>
          </w:p>
        </w:tc>
        <w:tc>
          <w:tcPr>
            <w:tcW w:type="dxa" w:w="3456"/>
            <w:shd w:fill="F3F4F4"/>
            <w:tcMar>
              <w:top w:w="42" w:type="dxa"/>
              <w:start w:w="100" w:type="dxa"/>
              <w:bottom w:w="42" w:type="dxa"/>
              <w:end w:w="100" w:type="dxa"/>
            </w:tcMar>
            <w:vAlign w:val="top"/>
          </w:tcPr>
          <w:p>
            <w:pPr>
              <w:spacing w:after="0" w:line="240" w:lineRule="auto"/>
            </w:pPr>
            <w:r>
              <w:rPr>
                <w:sz w:val="15"/>
              </w:rPr>
              <w:t>Planning, capital and national context; program status and local demand must be checked.</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W1</w:t>
            </w:r>
          </w:p>
        </w:tc>
        <w:tc>
          <w:tcPr>
            <w:tcW w:type="dxa" w:w="3312"/>
            <w:shd w:fill="FFFFFF"/>
            <w:tcMar>
              <w:top w:w="42" w:type="dxa"/>
              <w:start w:w="100" w:type="dxa"/>
              <w:bottom w:w="42" w:type="dxa"/>
              <w:end w:w="100" w:type="dxa"/>
            </w:tcMar>
            <w:vAlign w:val="top"/>
          </w:tcPr>
          <w:p>
            <w:pPr>
              <w:spacing w:after="0" w:line="240" w:lineRule="auto"/>
            </w:pPr>
            <w:r>
              <w:rPr>
                <w:sz w:val="15"/>
              </w:rPr>
              <w:t>CCDA Activity Review</w:t>
            </w:r>
          </w:p>
        </w:tc>
        <w:tc>
          <w:tcPr>
            <w:tcW w:type="dxa" w:w="2592"/>
            <w:shd w:fill="FFFFFF"/>
            <w:tcMar>
              <w:top w:w="42" w:type="dxa"/>
              <w:start w:w="100" w:type="dxa"/>
              <w:bottom w:w="42" w:type="dxa"/>
              <w:end w:w="100" w:type="dxa"/>
            </w:tcMar>
            <w:vAlign w:val="top"/>
          </w:tcPr>
          <w:p>
            <w:pPr>
              <w:spacing w:after="0" w:line="240" w:lineRule="auto"/>
            </w:pPr>
            <w:r>
              <w:rPr>
                <w:sz w:val="15"/>
              </w:rPr>
              <w:t>Red Seal Program</w:t>
            </w:r>
          </w:p>
        </w:tc>
        <w:tc>
          <w:tcPr>
            <w:tcW w:type="dxa" w:w="3456"/>
            <w:shd w:fill="FFFFFF"/>
            <w:tcMar>
              <w:top w:w="42" w:type="dxa"/>
              <w:start w:w="100" w:type="dxa"/>
              <w:bottom w:w="42" w:type="dxa"/>
              <w:end w:w="100" w:type="dxa"/>
            </w:tcMar>
            <w:vAlign w:val="top"/>
          </w:tcPr>
          <w:p>
            <w:pPr>
              <w:spacing w:after="0" w:line="240" w:lineRule="auto"/>
            </w:pPr>
            <w:r>
              <w:rPr>
                <w:sz w:val="15"/>
              </w:rPr>
              <w:t>Apprenticeship roles and collaboration; no local outcome claim.</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R1</w:t>
            </w:r>
          </w:p>
        </w:tc>
        <w:tc>
          <w:tcPr>
            <w:tcW w:type="dxa" w:w="3312"/>
            <w:shd w:fill="F3F4F4"/>
            <w:tcMar>
              <w:top w:w="42" w:type="dxa"/>
              <w:start w:w="100" w:type="dxa"/>
              <w:bottom w:w="42" w:type="dxa"/>
              <w:end w:w="100" w:type="dxa"/>
            </w:tcMar>
            <w:vAlign w:val="top"/>
          </w:tcPr>
          <w:p>
            <w:pPr>
              <w:spacing w:after="0" w:line="240" w:lineRule="auto"/>
            </w:pPr>
            <w:r>
              <w:rPr>
                <w:sz w:val="15"/>
              </w:rPr>
              <w:t>Drinking Water Quality Guidelines</w:t>
            </w:r>
          </w:p>
        </w:tc>
        <w:tc>
          <w:tcPr>
            <w:tcW w:type="dxa" w:w="2592"/>
            <w:shd w:fill="F3F4F4"/>
            <w:tcMar>
              <w:top w:w="42" w:type="dxa"/>
              <w:start w:w="100" w:type="dxa"/>
              <w:bottom w:w="42" w:type="dxa"/>
              <w:end w:w="100" w:type="dxa"/>
            </w:tcMar>
            <w:vAlign w:val="top"/>
          </w:tcPr>
          <w:p>
            <w:pPr>
              <w:spacing w:after="0" w:line="240" w:lineRule="auto"/>
            </w:pPr>
            <w:r>
              <w:rPr>
                <w:sz w:val="15"/>
              </w:rPr>
              <w:t>Health Canada</w:t>
            </w:r>
          </w:p>
        </w:tc>
        <w:tc>
          <w:tcPr>
            <w:tcW w:type="dxa" w:w="3456"/>
            <w:shd w:fill="F3F4F4"/>
            <w:tcMar>
              <w:top w:w="42" w:type="dxa"/>
              <w:start w:w="100" w:type="dxa"/>
              <w:bottom w:w="42" w:type="dxa"/>
              <w:end w:w="100" w:type="dxa"/>
            </w:tcMar>
            <w:vAlign w:val="top"/>
          </w:tcPr>
          <w:p>
            <w:pPr>
              <w:spacing w:after="0" w:line="240" w:lineRule="auto"/>
            </w:pPr>
            <w:r>
              <w:rPr>
                <w:sz w:val="15"/>
              </w:rPr>
              <w:t>Science-based values; implementation is jurisdiction-specific.</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E1</w:t>
            </w:r>
          </w:p>
        </w:tc>
        <w:tc>
          <w:tcPr>
            <w:tcW w:type="dxa" w:w="3312"/>
            <w:shd w:fill="FFFFFF"/>
            <w:tcMar>
              <w:top w:w="42" w:type="dxa"/>
              <w:start w:w="100" w:type="dxa"/>
              <w:bottom w:w="42" w:type="dxa"/>
              <w:end w:w="100" w:type="dxa"/>
            </w:tcMar>
            <w:vAlign w:val="top"/>
          </w:tcPr>
          <w:p>
            <w:pPr>
              <w:spacing w:after="0" w:line="240" w:lineRule="auto"/>
            </w:pPr>
            <w:r>
              <w:rPr>
                <w:sz w:val="15"/>
              </w:rPr>
              <w:t>Saint John Energy</w:t>
            </w:r>
          </w:p>
        </w:tc>
        <w:tc>
          <w:tcPr>
            <w:tcW w:type="dxa" w:w="2592"/>
            <w:shd w:fill="FFFFFF"/>
            <w:tcMar>
              <w:top w:w="42" w:type="dxa"/>
              <w:start w:w="100" w:type="dxa"/>
              <w:bottom w:w="42" w:type="dxa"/>
              <w:end w:w="100" w:type="dxa"/>
            </w:tcMar>
            <w:vAlign w:val="top"/>
          </w:tcPr>
          <w:p>
            <w:pPr>
              <w:spacing w:after="0" w:line="240" w:lineRule="auto"/>
            </w:pPr>
            <w:r>
              <w:rPr>
                <w:sz w:val="15"/>
              </w:rPr>
              <w:t>Saint John Energy</w:t>
            </w:r>
          </w:p>
        </w:tc>
        <w:tc>
          <w:tcPr>
            <w:tcW w:type="dxa" w:w="3456"/>
            <w:shd w:fill="FFFFFF"/>
            <w:tcMar>
              <w:top w:w="42" w:type="dxa"/>
              <w:start w:w="100" w:type="dxa"/>
              <w:bottom w:w="42" w:type="dxa"/>
              <w:end w:w="100" w:type="dxa"/>
            </w:tcMar>
            <w:vAlign w:val="top"/>
          </w:tcPr>
          <w:p>
            <w:pPr>
              <w:spacing w:after="0" w:line="240" w:lineRule="auto"/>
            </w:pPr>
            <w:r>
              <w:rPr>
                <w:sz w:val="15"/>
              </w:rPr>
              <w:t>Operating example in one provincial and local context.</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E2</w:t>
            </w:r>
          </w:p>
        </w:tc>
        <w:tc>
          <w:tcPr>
            <w:tcW w:type="dxa" w:w="3312"/>
            <w:shd w:fill="F3F4F4"/>
            <w:tcMar>
              <w:top w:w="42" w:type="dxa"/>
              <w:start w:w="100" w:type="dxa"/>
              <w:bottom w:w="42" w:type="dxa"/>
              <w:end w:w="100" w:type="dxa"/>
            </w:tcMar>
            <w:vAlign w:val="top"/>
          </w:tcPr>
          <w:p>
            <w:pPr>
              <w:spacing w:after="0" w:line="240" w:lineRule="auto"/>
            </w:pPr>
            <w:r>
              <w:rPr>
                <w:sz w:val="15"/>
              </w:rPr>
              <w:t>Green Municipal Fund</w:t>
            </w:r>
          </w:p>
        </w:tc>
        <w:tc>
          <w:tcPr>
            <w:tcW w:type="dxa" w:w="2592"/>
            <w:shd w:fill="F3F4F4"/>
            <w:tcMar>
              <w:top w:w="42" w:type="dxa"/>
              <w:start w:w="100" w:type="dxa"/>
              <w:bottom w:w="42" w:type="dxa"/>
              <w:end w:w="100" w:type="dxa"/>
            </w:tcMar>
            <w:vAlign w:val="top"/>
          </w:tcPr>
          <w:p>
            <w:pPr>
              <w:spacing w:after="0" w:line="240" w:lineRule="auto"/>
            </w:pPr>
            <w:r>
              <w:rPr>
                <w:sz w:val="15"/>
              </w:rPr>
              <w:t>Federation of Canadian Municipalities</w:t>
            </w:r>
          </w:p>
        </w:tc>
        <w:tc>
          <w:tcPr>
            <w:tcW w:type="dxa" w:w="3456"/>
            <w:shd w:fill="F3F4F4"/>
            <w:tcMar>
              <w:top w:w="42" w:type="dxa"/>
              <w:start w:w="100" w:type="dxa"/>
              <w:bottom w:w="42" w:type="dxa"/>
              <w:end w:w="100" w:type="dxa"/>
            </w:tcMar>
            <w:vAlign w:val="top"/>
          </w:tcPr>
          <w:p>
            <w:pPr>
              <w:spacing w:after="0" w:line="240" w:lineRule="auto"/>
            </w:pPr>
            <w:r>
              <w:rPr>
                <w:sz w:val="15"/>
              </w:rPr>
              <w:t>Municipal energy support areas; current eligibility changes over time.</w:t>
            </w:r>
          </w:p>
        </w:tc>
      </w:tr>
      <w:tr>
        <w:trPr>
          <w:cantSplit w:val="true"/>
          <w:trHeight w:hRule="atLeast"/>
        </w:trPr>
        <w:tc>
          <w:tcPr>
            <w:tcW w:type="dxa" w:w="1080"/>
            <w:shd w:fill="FFFFFF"/>
            <w:tcMar>
              <w:top w:w="42" w:type="dxa"/>
              <w:start w:w="100" w:type="dxa"/>
              <w:bottom w:w="42" w:type="dxa"/>
              <w:end w:w="100" w:type="dxa"/>
            </w:tcMar>
            <w:vAlign w:val="top"/>
          </w:tcPr>
          <w:p>
            <w:pPr>
              <w:spacing w:after="0" w:line="240" w:lineRule="auto"/>
            </w:pPr>
            <w:r>
              <w:rPr>
                <w:b/>
                <w:color w:val="2D3436"/>
                <w:sz w:val="15"/>
              </w:rPr>
              <w:t>D1</w:t>
            </w:r>
          </w:p>
        </w:tc>
        <w:tc>
          <w:tcPr>
            <w:tcW w:type="dxa" w:w="3312"/>
            <w:shd w:fill="FFFFFF"/>
            <w:tcMar>
              <w:top w:w="42" w:type="dxa"/>
              <w:start w:w="100" w:type="dxa"/>
              <w:bottom w:w="42" w:type="dxa"/>
              <w:end w:w="100" w:type="dxa"/>
            </w:tcMar>
            <w:vAlign w:val="top"/>
          </w:tcPr>
          <w:p>
            <w:pPr>
              <w:spacing w:after="0" w:line="240" w:lineRule="auto"/>
            </w:pPr>
            <w:r>
              <w:rPr>
                <w:sz w:val="15"/>
              </w:rPr>
              <w:t>Telecom Regulatory Policy 2016-496</w:t>
            </w:r>
          </w:p>
        </w:tc>
        <w:tc>
          <w:tcPr>
            <w:tcW w:type="dxa" w:w="2592"/>
            <w:shd w:fill="FFFFFF"/>
            <w:tcMar>
              <w:top w:w="42" w:type="dxa"/>
              <w:start w:w="100" w:type="dxa"/>
              <w:bottom w:w="42" w:type="dxa"/>
              <w:end w:w="100" w:type="dxa"/>
            </w:tcMar>
            <w:vAlign w:val="top"/>
          </w:tcPr>
          <w:p>
            <w:pPr>
              <w:spacing w:after="0" w:line="240" w:lineRule="auto"/>
            </w:pPr>
            <w:r>
              <w:rPr>
                <w:sz w:val="15"/>
              </w:rPr>
              <w:t>CRTC</w:t>
            </w:r>
          </w:p>
        </w:tc>
        <w:tc>
          <w:tcPr>
            <w:tcW w:type="dxa" w:w="3456"/>
            <w:shd w:fill="FFFFFF"/>
            <w:tcMar>
              <w:top w:w="42" w:type="dxa"/>
              <w:start w:w="100" w:type="dxa"/>
              <w:bottom w:w="42" w:type="dxa"/>
              <w:end w:w="100" w:type="dxa"/>
            </w:tcMar>
            <w:vAlign w:val="top"/>
          </w:tcPr>
          <w:p>
            <w:pPr>
              <w:spacing w:after="0" w:line="240" w:lineRule="auto"/>
            </w:pPr>
            <w:r>
              <w:rPr>
                <w:sz w:val="15"/>
              </w:rPr>
              <w:t>Universal service objective; not proof of local service performance.</w:t>
            </w:r>
          </w:p>
        </w:tc>
      </w:tr>
      <w:tr>
        <w:trPr>
          <w:cantSplit w:val="true"/>
          <w:trHeight w:hRule="atLeast"/>
        </w:trPr>
        <w:tc>
          <w:tcPr>
            <w:tcW w:type="dxa" w:w="1080"/>
            <w:shd w:fill="F3F4F4"/>
            <w:tcMar>
              <w:top w:w="42" w:type="dxa"/>
              <w:start w:w="100" w:type="dxa"/>
              <w:bottom w:w="42" w:type="dxa"/>
              <w:end w:w="100" w:type="dxa"/>
            </w:tcMar>
            <w:vAlign w:val="top"/>
          </w:tcPr>
          <w:p>
            <w:pPr>
              <w:spacing w:after="0" w:line="240" w:lineRule="auto"/>
            </w:pPr>
            <w:r>
              <w:rPr>
                <w:b/>
                <w:color w:val="2D3436"/>
                <w:sz w:val="15"/>
              </w:rPr>
              <w:t>D2</w:t>
            </w:r>
          </w:p>
        </w:tc>
        <w:tc>
          <w:tcPr>
            <w:tcW w:type="dxa" w:w="3312"/>
            <w:shd w:fill="F3F4F4"/>
            <w:tcMar>
              <w:top w:w="42" w:type="dxa"/>
              <w:start w:w="100" w:type="dxa"/>
              <w:bottom w:w="42" w:type="dxa"/>
              <w:end w:w="100" w:type="dxa"/>
            </w:tcMar>
            <w:vAlign w:val="top"/>
          </w:tcPr>
          <w:p>
            <w:pPr>
              <w:spacing w:after="0" w:line="240" w:lineRule="auto"/>
            </w:pPr>
            <w:r>
              <w:rPr>
                <w:sz w:val="15"/>
              </w:rPr>
              <w:t>Universal Broadband Fund</w:t>
            </w:r>
          </w:p>
        </w:tc>
        <w:tc>
          <w:tcPr>
            <w:tcW w:type="dxa" w:w="2592"/>
            <w:shd w:fill="F3F4F4"/>
            <w:tcMar>
              <w:top w:w="42" w:type="dxa"/>
              <w:start w:w="100" w:type="dxa"/>
              <w:bottom w:w="42" w:type="dxa"/>
              <w:end w:w="100" w:type="dxa"/>
            </w:tcMar>
            <w:vAlign w:val="top"/>
          </w:tcPr>
          <w:p>
            <w:pPr>
              <w:spacing w:after="0" w:line="240" w:lineRule="auto"/>
            </w:pPr>
            <w:r>
              <w:rPr>
                <w:sz w:val="15"/>
              </w:rPr>
              <w:t>Innovation, Science and Economic Development Canada</w:t>
            </w:r>
          </w:p>
        </w:tc>
        <w:tc>
          <w:tcPr>
            <w:tcW w:type="dxa" w:w="3456"/>
            <w:shd w:fill="F3F4F4"/>
            <w:tcMar>
              <w:top w:w="42" w:type="dxa"/>
              <w:start w:w="100" w:type="dxa"/>
              <w:bottom w:w="42" w:type="dxa"/>
              <w:end w:w="100" w:type="dxa"/>
            </w:tcMar>
            <w:vAlign w:val="top"/>
          </w:tcPr>
          <w:p>
            <w:pPr>
              <w:spacing w:after="0" w:line="240" w:lineRule="auto"/>
            </w:pPr>
            <w:r>
              <w:rPr>
                <w:sz w:val="15"/>
              </w:rPr>
              <w:t>Federal broadband policy and projects; current availability must be verified.</w:t>
            </w:r>
          </w:p>
        </w:tc>
      </w:tr>
    </w:tbl>
    <w:p>
      <w:pPr>
        <w:spacing w:after="0" w:line="40" w:lineRule="exact"/>
      </w:pPr>
      <w:r>
        <w:rPr>
          <w:sz w:val="2"/>
        </w:rPr>
        <w:t xml:space="preserve"> </w:t>
      </w:r>
    </w:p>
    <w:p>
      <w:pPr>
        <w:pStyle w:val="Heading1"/>
        <w:keepNext w:val="1"/>
        <w:keepLines w:val="1"/>
      </w:pPr>
      <w:r>
        <w:t>Direct links</w:t>
      </w:r>
    </w:p>
    <w:p>
      <w:pPr>
        <w:pStyle w:val="Source"/>
      </w:pPr>
      <w:r>
        <w:rPr>
          <w:b/>
        </w:rPr>
        <w:t xml:space="preserve">F1  </w:t>
      </w:r>
      <w:hyperlink r:id="rId11">
        <w:r>
          <w:rPr>
            <w:color w:val="244C5A"/>
            <w:u w:val="single"/>
            <w:rFonts w:ascii="Aptos" w:hAnsi="Aptos"/>
          </w:rPr>
          <w:t>Constitution Act, 1867</w:t>
        </w:r>
      </w:hyperlink>
    </w:p>
    <w:p>
      <w:pPr>
        <w:pStyle w:val="Source"/>
      </w:pPr>
      <w:r>
        <w:rPr>
          <w:b/>
        </w:rPr>
        <w:t xml:space="preserve">H1  </w:t>
      </w:r>
      <w:hyperlink r:id="rId12">
        <w:r>
          <w:rPr>
            <w:color w:val="244C5A"/>
            <w:u w:val="single"/>
            <w:rFonts w:ascii="Aptos" w:hAnsi="Aptos"/>
          </w:rPr>
          <w:t>CMHC Housing Accelerator Fund agreement update</w:t>
        </w:r>
      </w:hyperlink>
    </w:p>
    <w:p>
      <w:pPr>
        <w:pStyle w:val="Source"/>
      </w:pPr>
      <w:r>
        <w:rPr>
          <w:b/>
        </w:rPr>
        <w:t xml:space="preserve">H2  </w:t>
      </w:r>
      <w:hyperlink r:id="rId13">
        <w:r>
          <w:rPr>
            <w:color w:val="244C5A"/>
            <w:u w:val="single"/>
            <w:rFonts w:ascii="Aptos" w:hAnsi="Aptos"/>
          </w:rPr>
          <w:t>Statistics Canada Core housing need</w:t>
        </w:r>
      </w:hyperlink>
    </w:p>
    <w:p>
      <w:pPr>
        <w:pStyle w:val="Source"/>
      </w:pPr>
      <w:r>
        <w:rPr>
          <w:b/>
        </w:rPr>
        <w:t xml:space="preserve">H3  </w:t>
      </w:r>
      <w:hyperlink r:id="rId14">
        <w:r>
          <w:rPr>
            <w:color w:val="244C5A"/>
            <w:u w:val="single"/>
            <w:rFonts w:ascii="Aptos" w:hAnsi="Aptos"/>
          </w:rPr>
          <w:t>Canada’s National Infrastructure Assessment</w:t>
        </w:r>
      </w:hyperlink>
    </w:p>
    <w:p>
      <w:pPr>
        <w:pStyle w:val="Source"/>
      </w:pPr>
      <w:r>
        <w:rPr>
          <w:b/>
        </w:rPr>
        <w:t xml:space="preserve">G1  </w:t>
      </w:r>
      <w:hyperlink r:id="rId15">
        <w:r>
          <w:rPr>
            <w:color w:val="244C5A"/>
            <w:u w:val="single"/>
            <w:rFonts w:ascii="Aptos" w:hAnsi="Aptos"/>
          </w:rPr>
          <w:t>Competition Bureau Retail Grocery Market Study</w:t>
        </w:r>
      </w:hyperlink>
    </w:p>
    <w:p>
      <w:pPr>
        <w:pStyle w:val="Source"/>
      </w:pPr>
      <w:r>
        <w:rPr>
          <w:b/>
        </w:rPr>
        <w:t xml:space="preserve">G2  </w:t>
      </w:r>
      <w:hyperlink r:id="rId16">
        <w:r>
          <w:rPr>
            <w:color w:val="244C5A"/>
            <w:u w:val="single"/>
            <w:rFonts w:ascii="Aptos" w:hAnsi="Aptos"/>
          </w:rPr>
          <w:t>Competition Bureau Canada Needs More Grocery Competition</w:t>
        </w:r>
      </w:hyperlink>
    </w:p>
    <w:p>
      <w:pPr>
        <w:pStyle w:val="Source"/>
      </w:pPr>
      <w:r>
        <w:rPr>
          <w:b/>
        </w:rPr>
        <w:t xml:space="preserve">G3  </w:t>
      </w:r>
      <w:hyperlink r:id="rId17">
        <w:r>
          <w:rPr>
            <w:color w:val="244C5A"/>
            <w:u w:val="single"/>
            <w:rFonts w:ascii="Aptos" w:hAnsi="Aptos"/>
          </w:rPr>
          <w:t>Toronto Council item MM39.27</w:t>
        </w:r>
      </w:hyperlink>
    </w:p>
    <w:p>
      <w:pPr>
        <w:pStyle w:val="Source"/>
      </w:pPr>
      <w:r>
        <w:rPr>
          <w:b/>
        </w:rPr>
        <w:t xml:space="preserve">G4  </w:t>
      </w:r>
      <w:hyperlink r:id="rId18">
        <w:r>
          <w:rPr>
            <w:color w:val="244C5A"/>
            <w:u w:val="single"/>
            <w:rFonts w:ascii="Aptos" w:hAnsi="Aptos"/>
          </w:rPr>
          <w:t>Health Canada Household Food Security Survey Module</w:t>
        </w:r>
      </w:hyperlink>
    </w:p>
    <w:p>
      <w:pPr>
        <w:pStyle w:val="Source"/>
      </w:pPr>
      <w:r>
        <w:rPr>
          <w:b/>
        </w:rPr>
        <w:t xml:space="preserve">HC1  </w:t>
      </w:r>
      <w:hyperlink r:id="rId19">
        <w:r>
          <w:rPr>
            <w:color w:val="244C5A"/>
            <w:u w:val="single"/>
            <w:rFonts w:ascii="Aptos" w:hAnsi="Aptos"/>
          </w:rPr>
          <w:t>Health Canada Canada’s health care system</w:t>
        </w:r>
      </w:hyperlink>
    </w:p>
    <w:p>
      <w:pPr>
        <w:pStyle w:val="Source"/>
      </w:pPr>
      <w:r>
        <w:rPr>
          <w:b/>
        </w:rPr>
        <w:t xml:space="preserve">HC2  </w:t>
      </w:r>
      <w:hyperlink r:id="rId20">
        <w:r>
          <w:rPr>
            <w:color w:val="244C5A"/>
            <w:u w:val="single"/>
            <w:rFonts w:ascii="Aptos" w:hAnsi="Aptos"/>
          </w:rPr>
          <w:t>Canada Health Act section 8</w:t>
        </w:r>
      </w:hyperlink>
    </w:p>
    <w:p>
      <w:pPr>
        <w:pStyle w:val="Source"/>
      </w:pPr>
      <w:r>
        <w:rPr>
          <w:b/>
        </w:rPr>
        <w:t xml:space="preserve">HC3  </w:t>
      </w:r>
      <w:hyperlink r:id="rId21">
        <w:r>
          <w:rPr>
            <w:color w:val="244C5A"/>
            <w:u w:val="single"/>
            <w:rFonts w:ascii="Aptos" w:hAnsi="Aptos"/>
          </w:rPr>
          <w:t>Canada Health Act section 12</w:t>
        </w:r>
      </w:hyperlink>
    </w:p>
    <w:p>
      <w:pPr>
        <w:pStyle w:val="Source"/>
      </w:pPr>
      <w:r>
        <w:rPr>
          <w:b/>
        </w:rPr>
        <w:t xml:space="preserve">HC4  </w:t>
      </w:r>
      <w:hyperlink r:id="rId22">
        <w:r>
          <w:rPr>
            <w:color w:val="244C5A"/>
            <w:u w:val="single"/>
            <w:rFonts w:ascii="Aptos" w:hAnsi="Aptos"/>
          </w:rPr>
          <w:t>CIHI Primary and virtual care access</w:t>
        </w:r>
      </w:hyperlink>
    </w:p>
    <w:p>
      <w:pPr>
        <w:pStyle w:val="Source"/>
      </w:pPr>
      <w:r>
        <w:rPr>
          <w:b/>
        </w:rPr>
        <w:t xml:space="preserve">HC5  </w:t>
      </w:r>
      <w:hyperlink r:id="rId23">
        <w:r>
          <w:rPr>
            <w:color w:val="244C5A"/>
            <w:u w:val="single"/>
            <w:rFonts w:ascii="Aptos" w:hAnsi="Aptos"/>
          </w:rPr>
          <w:t>CIHI Primary care indicators</w:t>
        </w:r>
      </w:hyperlink>
    </w:p>
    <w:p>
      <w:pPr>
        <w:pStyle w:val="Source"/>
      </w:pPr>
      <w:r>
        <w:rPr>
          <w:b/>
        </w:rPr>
        <w:t xml:space="preserve">T1  </w:t>
      </w:r>
      <w:hyperlink r:id="rId24">
        <w:r>
          <w:rPr>
            <w:color w:val="244C5A"/>
            <w:u w:val="single"/>
            <w:rFonts w:ascii="Aptos" w:hAnsi="Aptos"/>
          </w:rPr>
          <w:t>Rural Transit Solutions Fund applicant guide</w:t>
        </w:r>
      </w:hyperlink>
    </w:p>
    <w:p>
      <w:pPr>
        <w:pStyle w:val="Source"/>
      </w:pPr>
      <w:r>
        <w:rPr>
          <w:b/>
        </w:rPr>
        <w:t xml:space="preserve">T2  </w:t>
      </w:r>
      <w:hyperlink r:id="rId25">
        <w:r>
          <w:rPr>
            <w:color w:val="244C5A"/>
            <w:u w:val="single"/>
            <w:rFonts w:ascii="Aptos" w:hAnsi="Aptos"/>
          </w:rPr>
          <w:t>Zero Emission Transit Fund</w:t>
        </w:r>
      </w:hyperlink>
    </w:p>
    <w:p>
      <w:pPr>
        <w:pStyle w:val="Source"/>
      </w:pPr>
      <w:r>
        <w:rPr>
          <w:b/>
        </w:rPr>
        <w:t xml:space="preserve">T3  </w:t>
      </w:r>
      <w:hyperlink r:id="rId26">
        <w:r>
          <w:rPr>
            <w:color w:val="244C5A"/>
            <w:u w:val="single"/>
            <w:rFonts w:ascii="Aptos" w:hAnsi="Aptos"/>
          </w:rPr>
          <w:t>Statistics Canada Urban public transit 2025</w:t>
        </w:r>
      </w:hyperlink>
    </w:p>
    <w:p>
      <w:pPr>
        <w:pStyle w:val="Source"/>
      </w:pPr>
      <w:r>
        <w:rPr>
          <w:b/>
        </w:rPr>
        <w:t xml:space="preserve">W1  </w:t>
      </w:r>
      <w:hyperlink r:id="rId27">
        <w:r>
          <w:rPr>
            <w:color w:val="244C5A"/>
            <w:u w:val="single"/>
            <w:rFonts w:ascii="Aptos" w:hAnsi="Aptos"/>
          </w:rPr>
          <w:t>CCDA Activity Review 2023–2024</w:t>
        </w:r>
      </w:hyperlink>
    </w:p>
    <w:p>
      <w:pPr>
        <w:pStyle w:val="Source"/>
      </w:pPr>
      <w:r>
        <w:rPr>
          <w:b/>
        </w:rPr>
        <w:t xml:space="preserve">R1  </w:t>
      </w:r>
      <w:hyperlink r:id="rId28">
        <w:r>
          <w:rPr>
            <w:color w:val="244C5A"/>
            <w:u w:val="single"/>
            <w:rFonts w:ascii="Aptos" w:hAnsi="Aptos"/>
          </w:rPr>
          <w:t>Health Canada Drinking Water Quality Summary Tables</w:t>
        </w:r>
      </w:hyperlink>
    </w:p>
    <w:p>
      <w:pPr>
        <w:pStyle w:val="Source"/>
      </w:pPr>
      <w:r>
        <w:rPr>
          <w:b/>
        </w:rPr>
        <w:t xml:space="preserve">E1  </w:t>
      </w:r>
      <w:hyperlink r:id="rId29">
        <w:r>
          <w:rPr>
            <w:color w:val="244C5A"/>
            <w:u w:val="single"/>
            <w:rFonts w:ascii="Aptos" w:hAnsi="Aptos"/>
          </w:rPr>
          <w:t>Saint John Energy</w:t>
        </w:r>
      </w:hyperlink>
    </w:p>
    <w:p>
      <w:pPr>
        <w:pStyle w:val="Source"/>
      </w:pPr>
      <w:r>
        <w:rPr>
          <w:b/>
        </w:rPr>
        <w:t xml:space="preserve">E2  </w:t>
      </w:r>
      <w:hyperlink r:id="rId30">
        <w:r>
          <w:rPr>
            <w:color w:val="244C5A"/>
            <w:u w:val="single"/>
            <w:rFonts w:ascii="Aptos" w:hAnsi="Aptos"/>
          </w:rPr>
          <w:t>FCM Green Municipal Fund</w:t>
        </w:r>
      </w:hyperlink>
    </w:p>
    <w:p>
      <w:pPr>
        <w:pStyle w:val="Source"/>
      </w:pPr>
      <w:r>
        <w:rPr>
          <w:b/>
        </w:rPr>
        <w:t xml:space="preserve">D1  </w:t>
      </w:r>
      <w:hyperlink r:id="rId31">
        <w:r>
          <w:rPr>
            <w:color w:val="244C5A"/>
            <w:u w:val="single"/>
            <w:rFonts w:ascii="Aptos" w:hAnsi="Aptos"/>
          </w:rPr>
          <w:t>CRTC Telecom Regulatory Policy 2016-496</w:t>
        </w:r>
      </w:hyperlink>
    </w:p>
    <w:p>
      <w:pPr>
        <w:pStyle w:val="Source"/>
      </w:pPr>
      <w:r>
        <w:rPr>
          <w:b/>
        </w:rPr>
        <w:t xml:space="preserve">D2  </w:t>
      </w:r>
      <w:hyperlink r:id="rId32">
        <w:r>
          <w:rPr>
            <w:color w:val="244C5A"/>
            <w:u w:val="single"/>
            <w:rFonts w:ascii="Aptos" w:hAnsi="Aptos"/>
          </w:rPr>
          <w:t>ISED Universal Broadband Fund</w:t>
        </w:r>
      </w:hyperlink>
    </w:p>
    <w:p>
      <w:pPr>
        <w:pStyle w:val="Heading1"/>
        <w:keepNext w:val="1"/>
        <w:keepLines w:val="1"/>
      </w:pPr>
      <w:r>
        <w:t>Final editorial note</w:t>
      </w:r>
    </w:p>
    <w:p>
      <w:pPr>
        <w:pStyle w:val="BodyText"/>
      </w:pPr>
      <w:r>
        <w:t>The strongest version of CDMM is not the version with the largest number of promises. It is the version in which each municipality can see the proposed mechanism, the authority required, the cost and risk carried, the dependency on the other fields, the evidence already known, the evidence still missing and the result that would justify continuing.</w:t>
      </w:r>
    </w:p>
    <w:sectPr w:rsidR="00FC693F" w:rsidRPr="0006063C" w:rsidSect="00034616">
      <w:headerReference w:type="default" r:id="rId9"/>
      <w:footerReference w:type="default" r:id="rId10"/>
      <w:pgSz w:w="12240" w:h="15840"/>
      <w:pgMar w:top="979" w:right="1123" w:bottom="893"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4D5B61"/>
        <w:sz w:val="15"/>
      </w:rPr>
      <w:t>CDMM  |  Nine Autonomies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eastAsia="Aptos"/>
      <w:color w:val="1717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eastAsia="Aptos Display"/>
      <w:b/>
      <w:bCs/>
      <w:color w:val="171717"/>
      <w:sz w:val="33"/>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eastAsia="Aptos"/>
      <w:b/>
      <w:bCs/>
      <w:color w:val="244C5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90" w:line="259" w:lineRule="auto"/>
    </w:pPr>
    <w:rPr>
      <w:rFonts w:ascii="Aptos" w:hAnsi="Aptos" w:eastAsia="Aptos"/>
      <w:color w:val="171717"/>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90" w:line="259" w:lineRule="auto"/>
      <w:ind w:left="331" w:hanging="202"/>
      <w:contextualSpacing/>
    </w:pPr>
    <w:rPr>
      <w:rFonts w:ascii="Aptos" w:hAnsi="Aptos" w:eastAsia="Aptos"/>
      <w:color w:val="171717"/>
      <w:sz w:val="20"/>
    </w:rPr>
  </w:style>
  <w:style w:type="paragraph" w:styleId="ListBullet2">
    <w:name w:val="List Bullet 2"/>
    <w:basedOn w:val="Normal"/>
    <w:uiPriority w:val="99"/>
    <w:unhideWhenUsed/>
    <w:rsid w:val="00326F90"/>
    <w:pPr>
      <w:numPr>
        <w:numId w:val="2"/>
      </w:numPr>
      <w:spacing w:after="90" w:line="259" w:lineRule="auto"/>
      <w:ind w:left="677" w:hanging="202"/>
      <w:contextualSpacing/>
    </w:pPr>
    <w:rPr>
      <w:rFonts w:ascii="Aptos" w:hAnsi="Aptos" w:eastAsia="Aptos"/>
      <w:color w:val="171717"/>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90" w:line="259" w:lineRule="auto"/>
      <w:ind w:left="403" w:hanging="259"/>
      <w:contextualSpacing/>
    </w:pPr>
    <w:rPr>
      <w:rFonts w:ascii="Aptos" w:hAnsi="Aptos" w:eastAsia="Aptos"/>
      <w:color w:val="171717"/>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Page">
    <w:name w:val="Title Page"/>
    <w:pPr>
      <w:spacing w:before="60" w:after="200" w:line="226" w:lineRule="auto"/>
    </w:pPr>
    <w:rPr>
      <w:rFonts w:ascii="Aptos Display" w:hAnsi="Aptos Display" w:eastAsia="Aptos Display"/>
      <w:b/>
      <w:color w:val="171717"/>
      <w:sz w:val="54"/>
    </w:rPr>
  </w:style>
  <w:style w:type="paragraph" w:customStyle="1" w:styleId="Kicker">
    <w:name w:val="Kicker"/>
    <w:pPr>
      <w:spacing w:before="0" w:after="100"/>
    </w:pPr>
    <w:rPr>
      <w:rFonts w:ascii="Aptos" w:hAnsi="Aptos"/>
      <w:b/>
      <w:color w:val="A95C34"/>
      <w:sz w:val="16"/>
    </w:rPr>
  </w:style>
  <w:style w:type="paragraph" w:customStyle="1" w:styleId="Source">
    <w:name w:val="Source"/>
    <w:pPr>
      <w:spacing w:after="64"/>
      <w:ind w:left="259" w:hanging="259"/>
    </w:pPr>
    <w:rPr>
      <w:rFonts w:ascii="Aptos" w:hAnsi="Aptos"/>
      <w:color w:val="4D5B61"/>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aws-lois.justice.gc.ca/eng/const/FullText.html" TargetMode="External"/><Relationship Id="rId12" Type="http://schemas.openxmlformats.org/officeDocument/2006/relationships/hyperlink" Target="https://www.cmhc-schl.gc.ca/media-newsroom/news-releases/2026/update-housing-accelerator-fund-agreements-charlottetown-markham-miramichi" TargetMode="External"/><Relationship Id="rId13" Type="http://schemas.openxmlformats.org/officeDocument/2006/relationships/hyperlink" Target="https://www150.statcan.gc.ca/n1/pub/11-627-m/11-627-m2022056-eng.htm" TargetMode="External"/><Relationship Id="rId14" Type="http://schemas.openxmlformats.org/officeDocument/2006/relationships/hyperlink" Target="https://housing-infrastructure.canada.ca/nia-eni/index-eng.html" TargetMode="External"/><Relationship Id="rId15" Type="http://schemas.openxmlformats.org/officeDocument/2006/relationships/hyperlink" Target="https://competition-bureau.canada.ca/en/retail-grocery-market-study" TargetMode="External"/><Relationship Id="rId16" Type="http://schemas.openxmlformats.org/officeDocument/2006/relationships/hyperlink" Target="https://competition-bureau.canada.ca/en/how-we-foster-competition/education-and-outreach/canada-needs-more-grocery-competition" TargetMode="External"/><Relationship Id="rId17" Type="http://schemas.openxmlformats.org/officeDocument/2006/relationships/hyperlink" Target="https://secure.toronto.ca/council/agenda-item.do?item=2026.MM39.27" TargetMode="External"/><Relationship Id="rId18" Type="http://schemas.openxmlformats.org/officeDocument/2006/relationships/hyperlink" Target="https://www.canada.ca/en/health-canada/services/food-nutrition/food-nutrition-surveillance/health-nutrition-surveys/canadian-community-health-survey-cchs/household-food-insecurity-canada-overview/household-food-security-survey-module-hfssm.html" TargetMode="External"/><Relationship Id="rId19" Type="http://schemas.openxmlformats.org/officeDocument/2006/relationships/hyperlink" Target="https://www.canada.ca/en/health-canada/services/canada-health-care-system.html" TargetMode="External"/><Relationship Id="rId20" Type="http://schemas.openxmlformats.org/officeDocument/2006/relationships/hyperlink" Target="https://laws-lois.justice.gc.ca/eng/acts/c-6/section-8.html" TargetMode="External"/><Relationship Id="rId21" Type="http://schemas.openxmlformats.org/officeDocument/2006/relationships/hyperlink" Target="https://laws-lois.justice.gc.ca/eng/acts/C-6/section-12.html" TargetMode="External"/><Relationship Id="rId22" Type="http://schemas.openxmlformats.org/officeDocument/2006/relationships/hyperlink" Target="https://www.cihi.ca/en/primary-and-virtual-care-access-emergency-department-visits-for-primary-care-conditions" TargetMode="External"/><Relationship Id="rId23" Type="http://schemas.openxmlformats.org/officeDocument/2006/relationships/hyperlink" Target="https://www.cihi.ca/en/topics/primary-care/indicators" TargetMode="External"/><Relationship Id="rId24" Type="http://schemas.openxmlformats.org/officeDocument/2006/relationships/hyperlink" Target="https://housing-infrastructure.canada.ca/rural-trans-rural/plan-guide-eng.html" TargetMode="External"/><Relationship Id="rId25" Type="http://schemas.openxmlformats.org/officeDocument/2006/relationships/hyperlink" Target="https://housing-infrastructure.canada.ca/zero-emissions-trans-zero-emissions/index-eng.html" TargetMode="External"/><Relationship Id="rId26" Type="http://schemas.openxmlformats.org/officeDocument/2006/relationships/hyperlink" Target="https://www150.statcan.gc.ca/n1/daily-quotidien/260216/dq260216b-eng.htm" TargetMode="External"/><Relationship Id="rId27" Type="http://schemas.openxmlformats.org/officeDocument/2006/relationships/hyperlink" Target="https://red-seal.ca/eng/others/ccda-activity-review-2023-2024.shtml" TargetMode="External"/><Relationship Id="rId28" Type="http://schemas.openxmlformats.org/officeDocument/2006/relationships/hyperlink" Target="https://www.canada.ca/en/health-canada/services/environmental-workplace-health/reports-publications/water-quality/guidelines-canadian-drinking-water-quality-summary-table.html" TargetMode="External"/><Relationship Id="rId29" Type="http://schemas.openxmlformats.org/officeDocument/2006/relationships/hyperlink" Target="https://sjenergy.ca/" TargetMode="External"/><Relationship Id="rId30" Type="http://schemas.openxmlformats.org/officeDocument/2006/relationships/hyperlink" Target="https://greenmunicipalfund.ca/" TargetMode="External"/><Relationship Id="rId31" Type="http://schemas.openxmlformats.org/officeDocument/2006/relationships/hyperlink" Target="https://crtc.gc.ca/eng/archive/2016/2016-496.htm" TargetMode="External"/><Relationship Id="rId32" Type="http://schemas.openxmlformats.org/officeDocument/2006/relationships/hyperlink" Target="https://ised-isde.canada.ca/site/high-speed-internet-canada/en/universal-broadband-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CDMM Nine Autonomies Website Content Pack</dc:title>
  <dc:subject>Publish-ready analytical copy for nine CDMM Autonomies</dc:subject>
  <dc:creator>Bola Ademolu</dc:creator>
  <cp:keywords>CDMM, municipal analysis, autonomy, website content, evidence, measurement</cp:keywords>
  <dc:description>Prepared for cdmmodel.ca</dc:description>
  <cp:lastModifiedBy/>
  <cp:revision>1</cp:revision>
  <dcterms:created xsi:type="dcterms:W3CDTF">2013-12-23T23:15:00Z</dcterms:created>
  <dcterms:modified xsi:type="dcterms:W3CDTF">2013-12-23T23:15:00Z</dcterms:modified>
  <cp:category/>
</cp:coreProperties>
</file>